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2550958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申请文件封面或扉页</w:t>
      </w:r>
      <w:bookmarkEnd w:id="0"/>
    </w:p>
    <w:p>
      <w:pPr>
        <w:pStyle w:val="3"/>
        <w:spacing w:line="360" w:lineRule="auto"/>
        <w:ind w:firstLine="640"/>
        <w:jc w:val="righ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正本（或副本）</w:t>
      </w:r>
    </w:p>
    <w:p>
      <w:pPr>
        <w:pStyle w:val="3"/>
        <w:spacing w:line="360" w:lineRule="auto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0"/>
        </w:tabs>
        <w:spacing w:line="360" w:lineRule="auto"/>
        <w:ind w:firstLine="481" w:firstLineChars="100"/>
        <w:jc w:val="center"/>
        <w:rPr>
          <w:rFonts w:hint="default" w:ascii="仿宋" w:hAnsi="仿宋" w:eastAsia="仿宋" w:cs="仿宋"/>
          <w:b/>
          <w:bCs/>
          <w:color w:val="000000" w:themeColor="text1"/>
          <w:sz w:val="48"/>
          <w:szCs w:val="4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2023“暖冬乐享·花在花城”消费券发放平台比选公告消费券发放平台企业</w:t>
      </w:r>
    </w:p>
    <w:p>
      <w:pPr>
        <w:pStyle w:val="3"/>
        <w:spacing w:line="360" w:lineRule="auto"/>
        <w:ind w:firstLine="643"/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643"/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643"/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0" w:firstLineChars="0"/>
        <w:jc w:val="center"/>
        <w:rPr>
          <w:rFonts w:ascii="仿宋" w:hAnsi="仿宋" w:eastAsia="仿宋" w:cs="仿宋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申请文件</w:t>
      </w:r>
    </w:p>
    <w:p>
      <w:pPr>
        <w:pStyle w:val="3"/>
        <w:spacing w:line="360" w:lineRule="auto"/>
        <w:ind w:firstLine="2891" w:firstLineChars="6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spacing w:line="360" w:lineRule="auto"/>
        <w:ind w:firstLine="720"/>
        <w:jc w:val="center"/>
        <w:rPr>
          <w:rFonts w:ascii="仿宋" w:hAnsi="仿宋" w:eastAsia="仿宋" w:cs="仿宋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2268" w:firstLineChars="630"/>
        <w:rPr>
          <w:rFonts w:ascii="仿宋" w:hAnsi="仿宋" w:eastAsia="仿宋" w:cs="仿宋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0" w:firstLineChars="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0" w:firstLineChars="0"/>
        <w:jc w:val="center"/>
        <w:rPr>
          <w:rFonts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申请人名称：（加盖公章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spacing w:line="360" w:lineRule="auto"/>
        <w:ind w:firstLine="64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line="360" w:lineRule="auto"/>
        <w:jc w:val="center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bookmarkStart w:id="1" w:name="_Toc425509581"/>
    </w:p>
    <w:p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before="156" w:beforeLines="50" w:line="360" w:lineRule="auto"/>
        <w:outlineLvl w:val="1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申请函</w:t>
      </w:r>
      <w:bookmarkEnd w:id="1"/>
    </w:p>
    <w:p>
      <w:pPr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  请  函</w:t>
      </w:r>
    </w:p>
    <w:p>
      <w:pPr>
        <w:spacing w:line="360" w:lineRule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攀枝花市商务局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2023“暖冬乐享·花在花城”消费券发放平台比选公告消费券发放平台企业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二、我单位对提交的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申请文件负责。贵方或授权代表可对我单位进行查询或调查，以证实提交的声明、文件和资料的真实性。</w:t>
      </w:r>
    </w:p>
    <w:p>
      <w:pPr>
        <w:spacing w:line="360" w:lineRule="auto"/>
        <w:ind w:firstLine="540" w:firstLineChars="18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三、我单位完全理解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贵方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因法律和政策原因取消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以及拒绝所有的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申请，并对此类任何行动不承担任何责任。</w:t>
      </w:r>
    </w:p>
    <w:p>
      <w:pPr>
        <w:spacing w:line="360" w:lineRule="auto"/>
        <w:ind w:firstLine="540" w:firstLineChars="18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四、如我单位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，我单位承诺按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文件要求签订合同，并将严格按照有关法律法规等相关政策开展工作。</w:t>
      </w:r>
    </w:p>
    <w:p>
      <w:pPr>
        <w:spacing w:line="360" w:lineRule="auto"/>
        <w:ind w:firstLine="540" w:firstLineChars="18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申请文件有效期为递交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申请文件截止日期后120个日历日内有效。</w:t>
      </w:r>
    </w:p>
    <w:p>
      <w:pPr>
        <w:spacing w:line="360" w:lineRule="auto"/>
        <w:ind w:firstLine="540" w:firstLineChars="18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六、需要核实的资料，贵方或授权代表可以向下列人员查询：</w:t>
      </w:r>
    </w:p>
    <w:p>
      <w:pPr>
        <w:tabs>
          <w:tab w:val="left" w:pos="5400"/>
        </w:tabs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联系人1：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电话：</w:t>
      </w:r>
    </w:p>
    <w:p>
      <w:pPr>
        <w:tabs>
          <w:tab w:val="left" w:pos="5400"/>
        </w:tabs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联系人2：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电话：</w:t>
      </w:r>
    </w:p>
    <w:p>
      <w:pPr>
        <w:tabs>
          <w:tab w:val="left" w:pos="5400"/>
        </w:tabs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申请人名称：（并加盖公章）</w:t>
      </w:r>
    </w:p>
    <w:p>
      <w:pPr>
        <w:widowControl/>
        <w:adjustRightInd w:val="0"/>
        <w:snapToGrid w:val="0"/>
        <w:spacing w:line="360" w:lineRule="auto"/>
        <w:ind w:firstLine="576" w:firstLineChars="192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日期：     年  月  日</w:t>
      </w:r>
    </w:p>
    <w:p>
      <w:pPr>
        <w:widowControl/>
        <w:adjustRightInd w:val="0"/>
        <w:snapToGrid w:val="0"/>
        <w:spacing w:line="360" w:lineRule="auto"/>
        <w:ind w:firstLine="537" w:firstLineChars="192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_Toc425509585"/>
    </w:p>
    <w:p>
      <w:pPr>
        <w:adjustRightInd w:val="0"/>
        <w:snapToGrid w:val="0"/>
        <w:spacing w:before="156" w:beforeLines="50" w:line="360" w:lineRule="auto"/>
        <w:outlineLvl w:val="1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3、法定代表人身份证明书</w:t>
      </w:r>
      <w:bookmarkEnd w:id="2"/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5" w:firstLineChars="202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，现系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申请人全称）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的法定代表人，特此证明。</w:t>
      </w: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345440</wp:posOffset>
                </wp:positionV>
                <wp:extent cx="4222115" cy="2456180"/>
                <wp:effectExtent l="4445" t="4445" r="21590" b="1587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22211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highlight w:val="green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.2pt;margin-top:27.2pt;height:193.4pt;width:332.45pt;z-index:251660288;mso-width-relative:page;mso-height-relative:page;" fillcolor="#FFFFFF" filled="t" stroked="t" coordsize="21600,21600" o:gfxdata="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zUFTA2QAAAAkBAAAPAAAAAAAA&#10;AAEAIAAAADgAAABkcnMvZG93bnJldi54bWxQSwECFAAUAAAACACHTuJAdvr5X/sBAAD9AwAADgAA&#10;AAAAAAABACAAAAA+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highlight w:val="green"/>
                        </w:rPr>
                      </w:pPr>
                    </w:p>
                    <w:p>
                      <w:pPr>
                        <w:rPr>
                          <w:sz w:val="24"/>
                          <w:highlight w:val="green"/>
                        </w:rPr>
                      </w:pP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注：1.身份证所在页盖章视为有效</w:t>
      </w:r>
    </w:p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申请人为非法人单位的，上述“法定代表人”指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申请人的主要负责人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bookmarkStart w:id="3" w:name="_Toc425509586"/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申请人名称（公章）：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日期：     年  月  日</w:t>
      </w:r>
    </w:p>
    <w:p>
      <w:pPr>
        <w:spacing w:line="360" w:lineRule="auto"/>
        <w:ind w:firstLine="642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bookmarkEnd w:id="3"/>
      <w:bookmarkStart w:id="4" w:name="_Toc182727392"/>
      <w:bookmarkStart w:id="5" w:name="_Toc181085155"/>
      <w:bookmarkStart w:id="6" w:name="_Toc425238400"/>
      <w:bookmarkStart w:id="7" w:name="_Toc405989168"/>
      <w:bookmarkStart w:id="8" w:name="_Toc405989368"/>
      <w:bookmarkStart w:id="9" w:name="_Toc425509590"/>
      <w:bookmarkStart w:id="10" w:name="_Toc177538754"/>
      <w:bookmarkStart w:id="11" w:name="_Toc396896733"/>
      <w:bookmarkStart w:id="12" w:name="_Toc182727533"/>
      <w:bookmarkStart w:id="13" w:name="_Toc177538305"/>
    </w:p>
    <w:p>
      <w:pPr>
        <w:adjustRightInd w:val="0"/>
        <w:snapToGrid w:val="0"/>
        <w:spacing w:before="156" w:beforeLines="50" w:line="360" w:lineRule="auto"/>
        <w:outlineLvl w:val="1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平台简介</w:t>
      </w:r>
    </w:p>
    <w:p>
      <w:pPr>
        <w:adjustRightInd w:val="0"/>
        <w:snapToGrid w:val="0"/>
        <w:spacing w:before="156" w:beforeLines="50" w:line="360" w:lineRule="auto"/>
        <w:outlineLvl w:val="1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before="156" w:beforeLines="50" w:line="360" w:lineRule="auto"/>
        <w:outlineLvl w:val="1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服务应答表</w:t>
      </w:r>
    </w:p>
    <w:tbl>
      <w:tblPr>
        <w:tblStyle w:val="6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770"/>
        <w:gridCol w:w="11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02" w:type="dxa"/>
            <w:noWrap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5770" w:type="dxa"/>
            <w:noWrap/>
            <w:vAlign w:val="center"/>
          </w:tcPr>
          <w:p>
            <w:pPr>
              <w:pStyle w:val="10"/>
              <w:snapToGrid w:val="0"/>
              <w:spacing w:before="156" w:beforeLines="50" w:after="156" w:afterLines="50" w:line="560" w:lineRule="exact"/>
              <w:textAlignment w:val="auto"/>
              <w:rPr>
                <w:rFonts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服务要求</w:t>
            </w:r>
          </w:p>
        </w:tc>
        <w:tc>
          <w:tcPr>
            <w:tcW w:w="116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征选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应答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（响应或不响应）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（若有偏离请详细列出）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beforeAutospacing="0" w:after="0" w:afterLines="50" w:afterAutospacing="0" w:line="36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5"/>
                <w:sz w:val="21"/>
                <w:szCs w:val="21"/>
                <w:lang w:val="en-US" w:eastAsia="zh-CN"/>
              </w:rPr>
              <w:t>同等条件下，优先考虑具有消费券发放活动经验的平台：承办过类似消费券发放活动，能提前预见和应对活动过程中的各类问题，及时回应社会关切，妥善处理客户投诉，确保消费券发放平稳有序。</w:t>
            </w:r>
          </w:p>
        </w:tc>
        <w:tc>
          <w:tcPr>
            <w:tcW w:w="116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beforeAutospacing="0" w:after="0" w:afterLines="50" w:afterAutospacing="0" w:line="36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5"/>
                <w:sz w:val="21"/>
                <w:szCs w:val="21"/>
                <w:lang w:val="en-US" w:eastAsia="zh-CN"/>
              </w:rPr>
              <w:t>有能力根据活动规则发放消费券，确保消费者可正常领券及核销。按照消费券发放工作部署及统一要求，能组织消费券发放，确保活动期间消费者（手机定位在攀枝花市范围内的人员）能够通过手机APP在入选服务平台上正常领取消费券、领券后到活动指定线上、线下实体店铺分类核销。</w:t>
            </w:r>
          </w:p>
        </w:tc>
        <w:tc>
          <w:tcPr>
            <w:tcW w:w="116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beforeAutospacing="0" w:after="0" w:afterLines="50" w:afterAutospacing="0" w:line="36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15"/>
                <w:sz w:val="21"/>
                <w:szCs w:val="21"/>
                <w:lang w:val="en-US" w:eastAsia="zh-CN"/>
              </w:rPr>
              <w:t>具备较强的宣传推广能力。平台能够利用自有渠道开展消费券发放活动宣传工作，能够配合主办方开展多渠道宣传推广活动，扩大消费券政策影响，提高活动知晓率和参与度。</w:t>
            </w:r>
          </w:p>
        </w:tc>
        <w:tc>
          <w:tcPr>
            <w:tcW w:w="116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beforeAutospacing="0" w:after="0" w:afterLines="50" w:afterAutospacing="0" w:line="36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15"/>
                <w:sz w:val="21"/>
                <w:szCs w:val="21"/>
              </w:rPr>
              <w:t>能及时提供消费券发放数据及分析报告，包括但不限于消费券发放张数、金额、申请用户数、核销用户数、核销笔数、核销金额、订单金额、核销率、拉动比、消费券核销退款金额以及参与核销商家数量、规模类型等后台相关数据。</w:t>
            </w:r>
          </w:p>
        </w:tc>
        <w:tc>
          <w:tcPr>
            <w:tcW w:w="116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beforeAutospacing="0" w:after="0" w:afterLines="50" w:afterAutospacing="0" w:line="36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自觉服从和主动配合政府部门监督管理，主动配合审计和绩效评价。活动期间，服务平台在消费券核销时不得向参与活动商户收取额外佣金。加强对专项资金和存放账户的监管，严格禁止专项资金用于其他用途，确保资金专款专用。制定消费券资金使用、信息安全等方面的风险防控预案，及时应对相关风险和问题。</w:t>
            </w:r>
            <w:bookmarkStart w:id="23" w:name="_GoBack"/>
            <w:bookmarkEnd w:id="23"/>
          </w:p>
        </w:tc>
        <w:tc>
          <w:tcPr>
            <w:tcW w:w="1162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申请人名称（公章）：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日期：     年  月  日</w:t>
      </w:r>
    </w:p>
    <w:p>
      <w:pPr>
        <w:adjustRightInd w:val="0"/>
        <w:snapToGrid w:val="0"/>
        <w:spacing w:before="156" w:beforeLines="50" w:line="360" w:lineRule="auto"/>
        <w:outlineLvl w:val="1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4" w:name="_Toc177538304"/>
      <w:bookmarkStart w:id="15" w:name="_Toc182727532"/>
      <w:bookmarkStart w:id="16" w:name="_Toc425238399"/>
      <w:bookmarkStart w:id="17" w:name="_Toc405989167"/>
      <w:bookmarkStart w:id="18" w:name="_Toc181085154"/>
      <w:bookmarkStart w:id="19" w:name="_Toc396896732"/>
      <w:bookmarkStart w:id="20" w:name="_Toc405989367"/>
      <w:bookmarkStart w:id="21" w:name="_Toc177538753"/>
      <w:bookmarkStart w:id="22" w:name="_Toc182727391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服务方案</w:t>
      </w:r>
    </w:p>
    <w:p>
      <w:pPr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由</w:t>
      </w:r>
      <w:r>
        <w:rPr>
          <w:rFonts w:hint="eastAsia" w:ascii="仿宋" w:hAnsi="仿宋" w:eastAsia="仿宋" w:cs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申请人根据</w:t>
      </w:r>
      <w:r>
        <w:rPr>
          <w:rFonts w:hint="eastAsia" w:ascii="仿宋" w:hAnsi="仿宋" w:eastAsia="仿宋" w:cs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征选公告</w:t>
      </w: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仿宋" w:hAnsi="仿宋" w:eastAsia="仿宋" w:cs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服务要求及</w:t>
      </w: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评分标准内容自行编写，格式不限。</w:t>
      </w:r>
    </w:p>
    <w:p>
      <w:pPr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申请人名称（公章）：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日期：     年  月  日</w:t>
      </w:r>
    </w:p>
    <w:p>
      <w:pPr>
        <w:pStyle w:val="4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、营业执照或法人证书复印件</w:t>
      </w: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line="360" w:lineRule="auto"/>
        <w:outlineLvl w:val="1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、资格承诺函</w:t>
      </w:r>
    </w:p>
    <w:p>
      <w:pPr>
        <w:spacing w:line="520" w:lineRule="exact"/>
        <w:rPr>
          <w:rFonts w:hint="default" w:ascii="仿宋" w:hAnsi="仿宋" w:eastAsia="仿宋" w:cs="仿宋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（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申请人名称）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default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平台依法登记设立，且具备国家金融主管或监管部门许可的银行卡清算、银行卡业务或支付结算等经营范围。近三年参加政府采购活动中没有重大违法记录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具有合法有效的企业法人营业执照（或事业法人登记证）或其他组织的营业执照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免费提供发券、核销、材料审核、资金拨付等技术和服务。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我单位对于以上承诺的真实性负责。如有不实，我单位愿承担由此产生的一切法律责任和后果。</w:t>
      </w:r>
    </w:p>
    <w:p>
      <w:pPr>
        <w:widowControl/>
        <w:adjustRightInd w:val="0"/>
        <w:snapToGrid w:val="0"/>
        <w:spacing w:line="520" w:lineRule="exact"/>
        <w:ind w:firstLine="460" w:firstLineChars="192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20" w:lineRule="exact"/>
        <w:ind w:firstLine="460" w:firstLineChars="192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20" w:lineRule="exact"/>
        <w:ind w:firstLine="460" w:firstLineChars="192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20" w:lineRule="exact"/>
        <w:ind w:firstLine="460" w:firstLineChars="192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征选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申请人名称（公章）：</w:t>
      </w:r>
    </w:p>
    <w:p>
      <w:pPr>
        <w:adjustRightInd w:val="0"/>
        <w:snapToGrid w:val="0"/>
        <w:spacing w:line="5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日期：     年  月  日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3979AF"/>
    <w:multiLevelType w:val="singleLevel"/>
    <w:tmpl w:val="963979A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5143"/>
    <w:rsid w:val="066F13F8"/>
    <w:rsid w:val="12AD63A9"/>
    <w:rsid w:val="17457850"/>
    <w:rsid w:val="194B3B3D"/>
    <w:rsid w:val="3DBF104D"/>
    <w:rsid w:val="6DB25143"/>
    <w:rsid w:val="B7E71BD1"/>
    <w:rsid w:val="DFFB8788"/>
    <w:rsid w:val="FD72DF8E"/>
    <w:rsid w:val="FEFB0EFD"/>
    <w:rsid w:val="FFCDD0CF"/>
    <w:rsid w:val="FFF7D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CD正文"/>
    <w:basedOn w:val="1"/>
    <w:qFormat/>
    <w:uiPriority w:val="0"/>
    <w:pPr>
      <w:spacing w:line="360" w:lineRule="auto"/>
      <w:ind w:firstLine="493"/>
    </w:pPr>
    <w:rPr>
      <w:sz w:val="30"/>
      <w:szCs w:val="28"/>
    </w:rPr>
  </w:style>
  <w:style w:type="paragraph" w:customStyle="1" w:styleId="10">
    <w:name w:val="Body Text 21"/>
    <w:basedOn w:val="1"/>
    <w:qFormat/>
    <w:uiPriority w:val="0"/>
    <w:pPr>
      <w:adjustRightInd w:val="0"/>
      <w:spacing w:line="300" w:lineRule="auto"/>
      <w:jc w:val="center"/>
      <w:textAlignment w:val="baseline"/>
    </w:pPr>
    <w:rPr>
      <w:rFonts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2023-04-05T01:04:00Z</dcterms:created>
  <dc:creator>YangKD</dc:creator>
  <cp:lastModifiedBy>user</cp:lastModifiedBy>
  <dcterms:modified xsi:type="dcterms:W3CDTF">2023-12-12T18:16:07Z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