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left"/>
        <w:outlineLvl w:val="0"/>
        <w:rPr>
          <w:rFonts w:ascii="方正小标宋简体" w:eastAsia="方正小标宋简体" w:hAnsi="宋体"/>
          <w:szCs w:val="21"/>
        </w:rPr>
      </w:pPr>
      <w:bookmarkStart w:id="0" w:name="_Toc15306267"/>
      <w:bookmarkStart w:id="1" w:name="_GoBack"/>
      <w:bookmarkEnd w:id="1"/>
    </w:p>
    <w:p>
      <w:pPr>
        <w:pStyle w:val="16"/>
        <w:spacing w:beforeLines="0" w:before="93"/>
      </w:pPr>
    </w:p>
    <w:p>
      <w:pPr>
        <w:jc w:val="center"/>
        <w:outlineLvl w:val="0"/>
        <w:rPr>
          <w:rFonts w:ascii="方正小标宋简体" w:eastAsia="方正小标宋简体" w:hAnsi="宋体"/>
          <w:sz w:val="72"/>
          <w:szCs w:val="72"/>
        </w:rPr>
      </w:pPr>
    </w:p>
    <w:p>
      <w:pPr>
        <w:jc w:val="center"/>
        <w:outlineLvl w:val="0"/>
        <w:rPr>
          <w:rFonts w:ascii="方正小标宋简体" w:eastAsia="方正小标宋简体" w:hAnsi="宋体"/>
          <w:sz w:val="72"/>
          <w:szCs w:val="72"/>
        </w:rPr>
      </w:pPr>
    </w:p>
    <w:p>
      <w:pPr>
        <w:adjustRightInd w:val="0"/>
        <w:snapToGrid w:val="0"/>
        <w:jc w:val="center"/>
        <w:outlineLvl w:val="0"/>
        <w:rPr>
          <w:rFonts w:ascii="方正小标宋简体" w:eastAsia="方正小标宋简体" w:cs="方正小标宋简体" w:hAnsi="方正小标宋简体"/>
          <w:sz w:val="72"/>
          <w:szCs w:val="72"/>
        </w:rPr>
      </w:pPr>
      <w:bookmarkStart w:id="2" w:name="_Toc15377193"/>
      <w:bookmarkStart w:id="3" w:name="_Toc15378441"/>
      <w:bookmarkStart w:id="4" w:name="_Toc15377425"/>
      <w:bookmarkStart w:id="5" w:name="_Toc15396475"/>
      <w:bookmarkStart w:id="6" w:name="_Toc15396597"/>
      <w:bookmarkStart w:id="7" w:name="_Toc176942306"/>
      <w:bookmarkStart w:id="8" w:name="_Toc176942447"/>
      <w:r>
        <w:rPr>
          <w:rFonts w:ascii="方正小标宋简体" w:eastAsia="方正小标宋简体" w:cs="方正小标宋简体" w:hAnsi="方正小标宋简体" w:hint="eastAsia"/>
          <w:sz w:val="72"/>
          <w:szCs w:val="72"/>
        </w:rPr>
        <w:t>2023年度</w:t>
      </w:r>
      <w:bookmarkEnd w:id="2"/>
      <w:bookmarkEnd w:id="3"/>
      <w:bookmarkEnd w:id="4"/>
      <w:bookmarkEnd w:id="5"/>
      <w:bookmarkEnd w:id="6"/>
      <w:bookmarkEnd w:id="7"/>
      <w:bookmarkEnd w:id="8"/>
    </w:p>
    <w:p>
      <w:pPr>
        <w:adjustRightInd w:val="0"/>
        <w:snapToGrid w:val="0"/>
        <w:jc w:val="center"/>
        <w:outlineLvl w:val="0"/>
        <w:rPr>
          <w:rFonts w:ascii="方正小标宋简体" w:eastAsia="方正小标宋简体" w:cs="方正小标宋简体" w:hAnsi="方正小标宋简体"/>
          <w:sz w:val="72"/>
          <w:szCs w:val="72"/>
        </w:rPr>
      </w:pPr>
      <w:bookmarkStart w:id="9" w:name="_Toc15396476"/>
      <w:bookmarkStart w:id="10" w:name="_Toc15378442"/>
      <w:bookmarkStart w:id="11" w:name="_Toc15396598"/>
      <w:bookmarkStart w:id="12" w:name="_Toc15377426"/>
      <w:bookmarkStart w:id="13" w:name="_Toc15377194"/>
      <w:bookmarkStart w:id="14" w:name="_Toc15306268"/>
      <w:bookmarkStart w:id="15" w:name="_Toc176942307"/>
      <w:bookmarkStart w:id="16" w:name="_Toc176942448"/>
      <w:bookmarkEnd w:id="0"/>
      <w:r>
        <w:rPr>
          <w:rFonts w:ascii="方正小标宋简体" w:eastAsia="方正小标宋简体" w:cs="方正小标宋简体" w:hAnsi="方正小标宋简体" w:hint="eastAsia"/>
          <w:sz w:val="72"/>
          <w:szCs w:val="72"/>
        </w:rPr>
        <w:t>攀枝花市商务局单位决算</w:t>
      </w:r>
      <w:bookmarkEnd w:id="9"/>
      <w:bookmarkEnd w:id="10"/>
      <w:bookmarkEnd w:id="11"/>
      <w:bookmarkEnd w:id="12"/>
      <w:bookmarkEnd w:id="13"/>
      <w:bookmarkEnd w:id="14"/>
      <w:bookmarkEnd w:id="15"/>
      <w:bookmarkEnd w:id="16"/>
    </w:p>
    <w:p>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t>目录</w:t>
      </w:r>
    </w:p>
    <w:p>
      <w:pPr>
        <w:widowControl/>
        <w:jc w:val="center"/>
        <w:rPr>
          <w:rFonts w:ascii="黑体" w:eastAsia="黑体" w:cs="Arial" w:hAnsi="黑体"/>
          <w:sz w:val="28"/>
          <w:szCs w:val="28"/>
        </w:rPr>
      </w:pPr>
    </w:p>
    <w:p>
      <w:pPr>
        <w:pStyle w:val="22"/>
        <w:tabs>
          <w:tab w:val="right" w:leader="dot" w:pos="8296"/>
        </w:tabs>
      </w:pPr>
      <w:r>
        <w:rPr>
          <w:rFonts w:hint="eastAsia"/>
        </w:rPr>
        <w:t>公开时间：2024年9月</w:t>
      </w:r>
      <w:r>
        <w:t>19</w:t>
      </w:r>
      <w:r>
        <w:rPr>
          <w:rFonts w:hint="eastAsia"/>
        </w:rPr>
        <w:t>日</w:t>
      </w:r>
    </w:p>
    <w:bookmarkStart w:id="17" w:name="_Toc15396599" w:displacedByCustomXml="next"/>
    <w:bookmarkStart w:id="18" w:name="_Toc15377196" w:displacedByCustomXml="next"/>
    <w:sdt>
      <w:sdtPr>
        <w:rPr>
          <w:rFonts w:ascii="Times New Roman" w:eastAsia="宋体" w:cs="Times New Roman" w:hAnsi="Times New Roman"/>
          <w:b w:val="0"/>
          <w:bCs w:val="0"/>
          <w:color w:val="auto"/>
          <w:kern w:val="2"/>
          <w:sz w:val="21"/>
          <w:szCs w:val="24"/>
          <w:lang w:val="zh-CN"/>
        </w:rPr>
        <w:id w:val="-1041256223"/>
        <w:docPartObj>
          <w:docPartGallery w:val="Table of Contents"/>
          <w:docPartUnique/>
        </w:docPartObj>
      </w:sdtPr>
      <w:sdtEndPr>
        <w:rPr>
          <w:lang w:val="en-US"/>
        </w:rPr>
      </w:sdtEndPr>
      <w:sdtContent>
        <w:p>
          <w:pPr>
            <w:pStyle w:val="53"/>
            <w:tabs>
              <w:tab w:val="left" w:pos="855"/>
            </w:tabs>
            <w:rPr>
              <w:rFonts w:ascii="Calibri" w:eastAsia="宋体" w:cs="Arial" w:hAnsi="Calibri"/>
              <w:b w:val="0"/>
              <w:sz w:val="21"/>
              <w:szCs w:val="22"/>
            </w:rPr>
          </w:pPr>
          <w:r>
            <w:rPr>
              <w:b w:val="0"/>
            </w:rPr>
            <w:fldChar w:fldCharType="begin"/>
          </w:r>
          <w:r>
            <w:rPr>
              <w:b w:val="0"/>
            </w:rPr>
            <w:instrText xml:space="preserve"> TOC \o "1-3" \h \z \u </w:instrText>
          </w:r>
          <w:r>
            <w:rPr>
              <w:b w:val="0"/>
            </w:rPr>
            <w:fldChar w:fldCharType="separate"/>
          </w:r>
        </w:p>
        <w:p>
          <w:pPr>
            <w:pStyle w:val="22"/>
            <w:tabs>
              <w:tab w:val="right" w:leader="dot" w:pos="8296"/>
            </w:tabs>
            <w:rPr>
              <w:rFonts w:cs="Arial"/>
              <w:sz w:val="36"/>
              <w:szCs w:val="32"/>
            </w:rPr>
          </w:pPr>
          <w:r>
            <w:fldChar w:fldCharType="begin"/>
          </w:r>
          <w:r>
            <w:instrText>Hyperlink \l "_Toc176942449"</w:instrText>
          </w:r>
          <w:r>
            <w:fldChar w:fldCharType="separate"/>
          </w:r>
          <w:r>
            <w:rPr>
              <w:rFonts w:hint="eastAsia"/>
              <w:b/>
              <w:sz w:val="36"/>
              <w:szCs w:val="32"/>
            </w:rPr>
            <w:t>第一部分</w:t>
          </w:r>
          <w:r>
            <w:rPr>
              <w:b/>
              <w:sz w:val="36"/>
              <w:szCs w:val="32"/>
            </w:rPr>
            <w:t xml:space="preserve"> </w:t>
          </w:r>
          <w:r>
            <w:rPr>
              <w:rFonts w:hint="eastAsia"/>
              <w:b/>
              <w:sz w:val="36"/>
              <w:szCs w:val="32"/>
            </w:rPr>
            <w:t>单位概况</w:t>
          </w:r>
          <w:r>
            <w:rPr>
              <w:sz w:val="36"/>
              <w:szCs w:val="32"/>
            </w:rPr>
            <w:tab/>
          </w:r>
          <w:r>
            <w:rPr>
              <w:sz w:val="36"/>
              <w:szCs w:val="32"/>
            </w:rPr>
            <w:fldChar w:fldCharType="begin"/>
          </w:r>
          <w:r>
            <w:rPr>
              <w:sz w:val="36"/>
              <w:szCs w:val="32"/>
            </w:rPr>
            <w:instrText xml:space="preserve"> PAGEREF _Toc176942449 \h </w:instrText>
          </w:r>
          <w:r>
            <w:rPr>
              <w:sz w:val="36"/>
              <w:szCs w:val="32"/>
            </w:rPr>
            <w:fldChar w:fldCharType="separate"/>
          </w:r>
          <w:r>
            <w:rPr>
              <w:sz w:val="36"/>
              <w:szCs w:val="32"/>
            </w:rPr>
            <w:t>5</w:t>
          </w:r>
          <w:r>
            <w:rPr>
              <w:sz w:val="36"/>
              <w:szCs w:val="32"/>
            </w:rPr>
            <w:fldChar w:fldCharType="end"/>
          </w:r>
          <w:r>
            <w:fldChar w:fldCharType="end"/>
          </w:r>
        </w:p>
        <w:p>
          <w:pPr>
            <w:pStyle w:val="23"/>
            <w:tabs>
              <w:tab w:val="right" w:leader="dot" w:pos="8296"/>
            </w:tabs>
            <w:rPr>
              <w:rFonts w:ascii="仿宋" w:eastAsia="仿宋" w:cs="Arial" w:hAnsi="仿宋"/>
              <w:sz w:val="32"/>
              <w:szCs w:val="32"/>
            </w:rPr>
          </w:pPr>
          <w:r>
            <w:fldChar w:fldCharType="begin"/>
          </w:r>
          <w:r>
            <w:instrText>Hyperlink \l "_Toc176942450"</w:instrText>
          </w:r>
          <w:r>
            <w:fldChar w:fldCharType="separate"/>
          </w:r>
          <w:r>
            <w:rPr>
              <w:rFonts w:ascii="仿宋" w:eastAsia="仿宋" w:hAnsi="仿宋" w:hint="eastAsia"/>
              <w:sz w:val="32"/>
              <w:szCs w:val="32"/>
            </w:rPr>
            <w:t>一、主要职责</w:t>
          </w:r>
          <w:r>
            <w:rPr>
              <w:rFonts w:ascii="仿宋" w:eastAsia="仿宋" w:hAnsi="仿宋"/>
              <w:sz w:val="32"/>
              <w:szCs w:val="32"/>
            </w:rPr>
            <w:tab/>
          </w:r>
          <w:r>
            <w:rPr>
              <w:rFonts w:ascii="仿宋" w:eastAsia="仿宋" w:hAnsi="仿宋"/>
              <w:sz w:val="32"/>
              <w:szCs w:val="32"/>
            </w:rPr>
            <w:fldChar w:fldCharType="begin"/>
          </w:r>
          <w:r>
            <w:rPr>
              <w:rFonts w:ascii="仿宋" w:eastAsia="仿宋" w:hAnsi="仿宋"/>
              <w:sz w:val="32"/>
              <w:szCs w:val="32"/>
            </w:rPr>
            <w:instrText xml:space="preserve"> PAGEREF _Toc176942450 \h </w:instrText>
          </w:r>
          <w:r>
            <w:rPr>
              <w:rFonts w:ascii="仿宋" w:eastAsia="仿宋" w:hAnsi="仿宋"/>
              <w:sz w:val="32"/>
              <w:szCs w:val="32"/>
            </w:rPr>
            <w:fldChar w:fldCharType="separate"/>
          </w:r>
          <w:r>
            <w:rPr>
              <w:rFonts w:ascii="仿宋" w:eastAsia="仿宋" w:hAnsi="仿宋"/>
              <w:sz w:val="32"/>
              <w:szCs w:val="32"/>
            </w:rPr>
            <w:t>5</w:t>
          </w:r>
          <w:r>
            <w:rPr>
              <w:rFonts w:ascii="仿宋" w:eastAsia="仿宋" w:hAnsi="仿宋"/>
              <w:sz w:val="32"/>
              <w:szCs w:val="32"/>
            </w:rPr>
            <w:fldChar w:fldCharType="end"/>
          </w:r>
          <w:r>
            <w:fldChar w:fldCharType="end"/>
          </w:r>
        </w:p>
        <w:p>
          <w:pPr>
            <w:pStyle w:val="23"/>
            <w:tabs>
              <w:tab w:val="right" w:leader="dot" w:pos="8296"/>
            </w:tabs>
            <w:rPr>
              <w:rFonts w:ascii="仿宋" w:eastAsia="仿宋" w:cs="Arial" w:hAnsi="仿宋"/>
              <w:sz w:val="32"/>
              <w:szCs w:val="32"/>
            </w:rPr>
          </w:pPr>
          <w:r>
            <w:fldChar w:fldCharType="begin"/>
          </w:r>
          <w:r>
            <w:instrText>Hyperlink \l "_Toc176942451"</w:instrText>
          </w:r>
          <w:r>
            <w:fldChar w:fldCharType="separate"/>
          </w:r>
          <w:r>
            <w:rPr>
              <w:rFonts w:ascii="仿宋" w:eastAsia="仿宋" w:hAnsi="仿宋" w:hint="eastAsia"/>
              <w:sz w:val="32"/>
              <w:szCs w:val="32"/>
            </w:rPr>
            <w:t>二、机构设置</w:t>
          </w:r>
          <w:r>
            <w:rPr>
              <w:rFonts w:ascii="仿宋" w:eastAsia="仿宋" w:hAnsi="仿宋"/>
              <w:sz w:val="32"/>
              <w:szCs w:val="32"/>
            </w:rPr>
            <w:tab/>
          </w:r>
          <w:r>
            <w:rPr>
              <w:rFonts w:ascii="仿宋" w:eastAsia="仿宋" w:hAnsi="仿宋"/>
              <w:sz w:val="32"/>
              <w:szCs w:val="32"/>
            </w:rPr>
            <w:fldChar w:fldCharType="begin"/>
          </w:r>
          <w:r>
            <w:rPr>
              <w:rFonts w:ascii="仿宋" w:eastAsia="仿宋" w:hAnsi="仿宋"/>
              <w:sz w:val="32"/>
              <w:szCs w:val="32"/>
            </w:rPr>
            <w:instrText xml:space="preserve"> PAGEREF _Toc176942451 \h </w:instrText>
          </w:r>
          <w:r>
            <w:rPr>
              <w:rFonts w:ascii="仿宋" w:eastAsia="仿宋" w:hAnsi="仿宋"/>
              <w:sz w:val="32"/>
              <w:szCs w:val="32"/>
            </w:rPr>
            <w:fldChar w:fldCharType="separate"/>
          </w:r>
          <w:r>
            <w:rPr>
              <w:rFonts w:ascii="仿宋" w:eastAsia="仿宋" w:hAnsi="仿宋"/>
              <w:sz w:val="32"/>
              <w:szCs w:val="32"/>
            </w:rPr>
            <w:t>7</w:t>
          </w:r>
          <w:r>
            <w:rPr>
              <w:rFonts w:ascii="仿宋" w:eastAsia="仿宋" w:hAnsi="仿宋"/>
              <w:sz w:val="32"/>
              <w:szCs w:val="32"/>
            </w:rPr>
            <w:fldChar w:fldCharType="end"/>
          </w:r>
          <w:r>
            <w:fldChar w:fldCharType="end"/>
          </w:r>
        </w:p>
        <w:p>
          <w:pPr>
            <w:pStyle w:val="22"/>
            <w:tabs>
              <w:tab w:val="right" w:leader="dot" w:pos="8296"/>
            </w:tabs>
            <w:rPr>
              <w:rFonts w:cs="Arial"/>
              <w:szCs w:val="32"/>
            </w:rPr>
          </w:pPr>
          <w:r>
            <w:fldChar w:fldCharType="begin"/>
          </w:r>
          <w:r>
            <w:instrText>Hyperlink \l "_Toc176942452"</w:instrText>
          </w:r>
          <w:r>
            <w:fldChar w:fldCharType="separate"/>
          </w:r>
          <w:r>
            <w:rPr>
              <w:rFonts w:hint="eastAsia"/>
              <w:b/>
              <w:szCs w:val="32"/>
            </w:rPr>
            <w:t>第二部分</w:t>
          </w:r>
          <w:r>
            <w:rPr>
              <w:b/>
              <w:szCs w:val="32"/>
            </w:rPr>
            <w:t xml:space="preserve"> 2023</w:t>
          </w:r>
          <w:r>
            <w:rPr>
              <w:rFonts w:hint="eastAsia"/>
              <w:b/>
              <w:szCs w:val="32"/>
            </w:rPr>
            <w:t>年度单位决算情况说明</w:t>
          </w:r>
          <w:r>
            <w:rPr>
              <w:szCs w:val="32"/>
            </w:rPr>
            <w:tab/>
          </w:r>
          <w:r>
            <w:rPr>
              <w:szCs w:val="32"/>
            </w:rPr>
            <w:fldChar w:fldCharType="begin"/>
          </w:r>
          <w:r>
            <w:rPr>
              <w:szCs w:val="32"/>
            </w:rPr>
            <w:instrText xml:space="preserve"> PAGEREF _Toc176942452 \h </w:instrText>
          </w:r>
          <w:r>
            <w:rPr>
              <w:szCs w:val="32"/>
            </w:rPr>
            <w:fldChar w:fldCharType="separate"/>
          </w:r>
          <w:r>
            <w:rPr>
              <w:szCs w:val="32"/>
            </w:rPr>
            <w:t>8</w:t>
          </w:r>
          <w:r>
            <w:rPr>
              <w:szCs w:val="32"/>
            </w:rPr>
            <w:fldChar w:fldCharType="end"/>
          </w:r>
          <w:r>
            <w:fldChar w:fldCharType="end"/>
          </w:r>
        </w:p>
        <w:p>
          <w:pPr>
            <w:pStyle w:val="23"/>
            <w:tabs>
              <w:tab w:val="right" w:leader="dot" w:pos="8296"/>
            </w:tabs>
            <w:rPr>
              <w:rFonts w:ascii="仿宋" w:eastAsia="仿宋" w:cs="Arial" w:hAnsi="仿宋"/>
              <w:sz w:val="32"/>
              <w:szCs w:val="32"/>
            </w:rPr>
          </w:pPr>
          <w:r>
            <w:fldChar w:fldCharType="begin"/>
          </w:r>
          <w:r>
            <w:instrText>Hyperlink \l "_Toc176942453"</w:instrText>
          </w:r>
          <w:r>
            <w:fldChar w:fldCharType="separate"/>
          </w:r>
          <w:r>
            <w:rPr>
              <w:rFonts w:ascii="仿宋" w:eastAsia="仿宋" w:cs="Times New Roman" w:hAnsi="仿宋" w:hint="eastAsia"/>
              <w:bCs/>
              <w:sz w:val="32"/>
              <w:szCs w:val="32"/>
            </w:rPr>
            <w:t>一、</w:t>
          </w:r>
          <w:r>
            <w:rPr>
              <w:rFonts w:ascii="仿宋" w:eastAsia="仿宋" w:hAnsi="仿宋" w:hint="eastAsia"/>
              <w:sz w:val="32"/>
              <w:szCs w:val="32"/>
            </w:rPr>
            <w:t>收</w:t>
          </w:r>
          <w:r>
            <w:rPr>
              <w:rFonts w:ascii="仿宋" w:eastAsia="仿宋" w:cs="Times New Roman" w:hAnsi="仿宋" w:hint="eastAsia"/>
              <w:bCs/>
              <w:sz w:val="32"/>
              <w:szCs w:val="32"/>
            </w:rPr>
            <w:t>入支出决算总体情况说明</w:t>
          </w:r>
          <w:r>
            <w:rPr>
              <w:rFonts w:ascii="仿宋" w:eastAsia="仿宋" w:hAnsi="仿宋"/>
              <w:sz w:val="32"/>
              <w:szCs w:val="32"/>
            </w:rPr>
            <w:tab/>
          </w:r>
          <w:r>
            <w:rPr>
              <w:rFonts w:ascii="仿宋" w:eastAsia="仿宋" w:hAnsi="仿宋"/>
              <w:sz w:val="32"/>
              <w:szCs w:val="32"/>
            </w:rPr>
            <w:fldChar w:fldCharType="begin"/>
          </w:r>
          <w:r>
            <w:rPr>
              <w:rFonts w:ascii="仿宋" w:eastAsia="仿宋" w:hAnsi="仿宋"/>
              <w:sz w:val="32"/>
              <w:szCs w:val="32"/>
            </w:rPr>
            <w:instrText xml:space="preserve"> PAGEREF _Toc176942453 \h </w:instrText>
          </w:r>
          <w:r>
            <w:rPr>
              <w:rFonts w:ascii="仿宋" w:eastAsia="仿宋" w:hAnsi="仿宋"/>
              <w:sz w:val="32"/>
              <w:szCs w:val="32"/>
            </w:rPr>
            <w:fldChar w:fldCharType="separate"/>
          </w:r>
          <w:r>
            <w:rPr>
              <w:rFonts w:ascii="仿宋" w:eastAsia="仿宋" w:hAnsi="仿宋"/>
              <w:sz w:val="32"/>
              <w:szCs w:val="32"/>
            </w:rPr>
            <w:t>8</w:t>
          </w:r>
          <w:r>
            <w:rPr>
              <w:rFonts w:ascii="仿宋" w:eastAsia="仿宋" w:hAnsi="仿宋"/>
              <w:sz w:val="32"/>
              <w:szCs w:val="32"/>
            </w:rPr>
            <w:fldChar w:fldCharType="end"/>
          </w:r>
          <w:r>
            <w:fldChar w:fldCharType="end"/>
          </w:r>
        </w:p>
        <w:p>
          <w:pPr>
            <w:pStyle w:val="23"/>
            <w:tabs>
              <w:tab w:val="right" w:leader="dot" w:pos="8296"/>
            </w:tabs>
            <w:rPr>
              <w:rFonts w:ascii="仿宋" w:eastAsia="仿宋" w:cs="Arial" w:hAnsi="仿宋"/>
              <w:sz w:val="32"/>
              <w:szCs w:val="32"/>
            </w:rPr>
          </w:pPr>
          <w:r>
            <w:fldChar w:fldCharType="begin"/>
          </w:r>
          <w:r>
            <w:instrText>Hyperlink \l "_Toc176942454"</w:instrText>
          </w:r>
          <w:r>
            <w:fldChar w:fldCharType="separate"/>
          </w:r>
          <w:r>
            <w:rPr>
              <w:rFonts w:ascii="仿宋" w:eastAsia="仿宋" w:cs="Times New Roman" w:hAnsi="仿宋" w:hint="eastAsia"/>
              <w:bCs/>
              <w:sz w:val="32"/>
              <w:szCs w:val="32"/>
            </w:rPr>
            <w:t>二、</w:t>
          </w:r>
          <w:r>
            <w:rPr>
              <w:rFonts w:ascii="仿宋" w:eastAsia="仿宋" w:hAnsi="仿宋" w:hint="eastAsia"/>
              <w:sz w:val="32"/>
              <w:szCs w:val="32"/>
            </w:rPr>
            <w:t>收</w:t>
          </w:r>
          <w:r>
            <w:rPr>
              <w:rFonts w:ascii="仿宋" w:eastAsia="仿宋" w:cs="Times New Roman" w:hAnsi="仿宋" w:hint="eastAsia"/>
              <w:bCs/>
              <w:sz w:val="32"/>
              <w:szCs w:val="32"/>
            </w:rPr>
            <w:t>入决算情况说明</w:t>
          </w:r>
          <w:r>
            <w:rPr>
              <w:rFonts w:ascii="仿宋" w:eastAsia="仿宋" w:hAnsi="仿宋"/>
              <w:sz w:val="32"/>
              <w:szCs w:val="32"/>
            </w:rPr>
            <w:tab/>
          </w:r>
          <w:r>
            <w:rPr>
              <w:rFonts w:ascii="仿宋" w:eastAsia="仿宋" w:hAnsi="仿宋"/>
              <w:sz w:val="32"/>
              <w:szCs w:val="32"/>
            </w:rPr>
            <w:fldChar w:fldCharType="begin"/>
          </w:r>
          <w:r>
            <w:rPr>
              <w:rFonts w:ascii="仿宋" w:eastAsia="仿宋" w:hAnsi="仿宋"/>
              <w:sz w:val="32"/>
              <w:szCs w:val="32"/>
            </w:rPr>
            <w:instrText xml:space="preserve"> PAGEREF _Toc176942454 \h </w:instrText>
          </w:r>
          <w:r>
            <w:rPr>
              <w:rFonts w:ascii="仿宋" w:eastAsia="仿宋" w:hAnsi="仿宋"/>
              <w:sz w:val="32"/>
              <w:szCs w:val="32"/>
            </w:rPr>
            <w:fldChar w:fldCharType="separate"/>
          </w:r>
          <w:r>
            <w:rPr>
              <w:rFonts w:ascii="仿宋" w:eastAsia="仿宋" w:hAnsi="仿宋"/>
              <w:sz w:val="32"/>
              <w:szCs w:val="32"/>
            </w:rPr>
            <w:t>8</w:t>
          </w:r>
          <w:r>
            <w:rPr>
              <w:rFonts w:ascii="仿宋" w:eastAsia="仿宋" w:hAnsi="仿宋"/>
              <w:sz w:val="32"/>
              <w:szCs w:val="32"/>
            </w:rPr>
            <w:fldChar w:fldCharType="end"/>
          </w:r>
          <w:r>
            <w:fldChar w:fldCharType="end"/>
          </w:r>
        </w:p>
        <w:p>
          <w:pPr>
            <w:pStyle w:val="23"/>
            <w:tabs>
              <w:tab w:val="right" w:leader="dot" w:pos="8296"/>
            </w:tabs>
            <w:rPr>
              <w:rFonts w:ascii="仿宋" w:eastAsia="仿宋" w:cs="Arial" w:hAnsi="仿宋"/>
              <w:sz w:val="32"/>
              <w:szCs w:val="32"/>
            </w:rPr>
          </w:pPr>
          <w:r>
            <w:fldChar w:fldCharType="begin"/>
          </w:r>
          <w:r>
            <w:instrText>Hyperlink \l "_Toc176942456"</w:instrText>
          </w:r>
          <w:r>
            <w:fldChar w:fldCharType="separate"/>
          </w:r>
          <w:r>
            <w:rPr>
              <w:rFonts w:ascii="仿宋" w:eastAsia="仿宋" w:cs="Times New Roman" w:hAnsi="仿宋" w:hint="eastAsia"/>
              <w:bCs/>
              <w:sz w:val="32"/>
              <w:szCs w:val="32"/>
            </w:rPr>
            <w:t>三、</w:t>
          </w:r>
          <w:r>
            <w:rPr>
              <w:rFonts w:ascii="仿宋" w:eastAsia="仿宋" w:hAnsi="仿宋" w:hint="eastAsia"/>
              <w:sz w:val="32"/>
              <w:szCs w:val="32"/>
            </w:rPr>
            <w:t>支</w:t>
          </w:r>
          <w:r>
            <w:rPr>
              <w:rFonts w:ascii="仿宋" w:eastAsia="仿宋" w:cs="Times New Roman" w:hAnsi="仿宋" w:hint="eastAsia"/>
              <w:bCs/>
              <w:sz w:val="32"/>
              <w:szCs w:val="32"/>
            </w:rPr>
            <w:t>出决算情况说明</w:t>
          </w:r>
          <w:r>
            <w:rPr>
              <w:rFonts w:ascii="仿宋" w:eastAsia="仿宋" w:hAnsi="仿宋"/>
              <w:sz w:val="32"/>
              <w:szCs w:val="32"/>
            </w:rPr>
            <w:tab/>
          </w:r>
          <w:r>
            <w:rPr>
              <w:rFonts w:ascii="仿宋" w:eastAsia="仿宋" w:hAnsi="仿宋"/>
              <w:sz w:val="32"/>
              <w:szCs w:val="32"/>
            </w:rPr>
            <w:fldChar w:fldCharType="begin"/>
          </w:r>
          <w:r>
            <w:rPr>
              <w:rFonts w:ascii="仿宋" w:eastAsia="仿宋" w:hAnsi="仿宋"/>
              <w:sz w:val="32"/>
              <w:szCs w:val="32"/>
            </w:rPr>
            <w:instrText xml:space="preserve"> PAGEREF _Toc176942456 \h </w:instrText>
          </w:r>
          <w:r>
            <w:rPr>
              <w:rFonts w:ascii="仿宋" w:eastAsia="仿宋" w:hAnsi="仿宋"/>
              <w:sz w:val="32"/>
              <w:szCs w:val="32"/>
            </w:rPr>
            <w:fldChar w:fldCharType="separate"/>
          </w:r>
          <w:r>
            <w:rPr>
              <w:rFonts w:ascii="仿宋" w:eastAsia="仿宋" w:hAnsi="仿宋"/>
              <w:sz w:val="32"/>
              <w:szCs w:val="32"/>
            </w:rPr>
            <w:t>9</w:t>
          </w:r>
          <w:r>
            <w:rPr>
              <w:rFonts w:ascii="仿宋" w:eastAsia="仿宋" w:hAnsi="仿宋"/>
              <w:sz w:val="32"/>
              <w:szCs w:val="32"/>
            </w:rPr>
            <w:fldChar w:fldCharType="end"/>
          </w:r>
          <w:r>
            <w:fldChar w:fldCharType="end"/>
          </w:r>
        </w:p>
        <w:p>
          <w:pPr>
            <w:pStyle w:val="23"/>
            <w:tabs>
              <w:tab w:val="right" w:leader="dot" w:pos="8296"/>
            </w:tabs>
            <w:rPr>
              <w:rFonts w:ascii="仿宋" w:eastAsia="仿宋" w:cs="Arial" w:hAnsi="仿宋"/>
              <w:sz w:val="32"/>
              <w:szCs w:val="32"/>
            </w:rPr>
          </w:pPr>
          <w:r>
            <w:fldChar w:fldCharType="begin"/>
          </w:r>
          <w:r>
            <w:instrText>Hyperlink \l "_Toc176942458"</w:instrText>
          </w:r>
          <w:r>
            <w:fldChar w:fldCharType="separate"/>
          </w:r>
          <w:r>
            <w:rPr>
              <w:rFonts w:ascii="仿宋" w:eastAsia="仿宋" w:hAnsi="仿宋" w:hint="eastAsia"/>
              <w:sz w:val="32"/>
              <w:szCs w:val="32"/>
            </w:rPr>
            <w:t>四、财</w:t>
          </w:r>
          <w:r>
            <w:rPr>
              <w:rFonts w:ascii="仿宋" w:eastAsia="仿宋" w:cs="Times New Roman" w:hAnsi="仿宋" w:hint="eastAsia"/>
              <w:bCs/>
              <w:sz w:val="32"/>
              <w:szCs w:val="32"/>
            </w:rPr>
            <w:t>政拨款收入支出决算总体情况说明</w:t>
          </w:r>
          <w:r>
            <w:rPr>
              <w:rFonts w:ascii="仿宋" w:eastAsia="仿宋" w:hAnsi="仿宋"/>
              <w:sz w:val="32"/>
              <w:szCs w:val="32"/>
            </w:rPr>
            <w:tab/>
          </w:r>
          <w:r>
            <w:rPr>
              <w:rFonts w:ascii="仿宋" w:eastAsia="仿宋" w:hAnsi="仿宋"/>
              <w:sz w:val="32"/>
              <w:szCs w:val="32"/>
            </w:rPr>
            <w:fldChar w:fldCharType="begin"/>
          </w:r>
          <w:r>
            <w:rPr>
              <w:rFonts w:ascii="仿宋" w:eastAsia="仿宋" w:hAnsi="仿宋"/>
              <w:sz w:val="32"/>
              <w:szCs w:val="32"/>
            </w:rPr>
            <w:instrText xml:space="preserve"> PAGEREF _Toc176942458 \h </w:instrText>
          </w:r>
          <w:r>
            <w:rPr>
              <w:rFonts w:ascii="仿宋" w:eastAsia="仿宋" w:hAnsi="仿宋"/>
              <w:sz w:val="32"/>
              <w:szCs w:val="32"/>
            </w:rPr>
            <w:fldChar w:fldCharType="separate"/>
          </w:r>
          <w:r>
            <w:rPr>
              <w:rFonts w:ascii="仿宋" w:eastAsia="仿宋" w:hAnsi="仿宋"/>
              <w:sz w:val="32"/>
              <w:szCs w:val="32"/>
            </w:rPr>
            <w:t>9</w:t>
          </w:r>
          <w:r>
            <w:rPr>
              <w:rFonts w:ascii="仿宋" w:eastAsia="仿宋" w:hAnsi="仿宋"/>
              <w:sz w:val="32"/>
              <w:szCs w:val="32"/>
            </w:rPr>
            <w:fldChar w:fldCharType="end"/>
          </w:r>
          <w:r>
            <w:fldChar w:fldCharType="end"/>
          </w:r>
        </w:p>
        <w:p>
          <w:pPr>
            <w:pStyle w:val="23"/>
            <w:tabs>
              <w:tab w:val="right" w:leader="dot" w:pos="8296"/>
            </w:tabs>
            <w:rPr>
              <w:rFonts w:ascii="仿宋" w:eastAsia="仿宋" w:cs="Arial" w:hAnsi="仿宋"/>
              <w:sz w:val="32"/>
              <w:szCs w:val="32"/>
            </w:rPr>
          </w:pPr>
          <w:r>
            <w:fldChar w:fldCharType="begin"/>
          </w:r>
          <w:r>
            <w:instrText>Hyperlink \l "_Toc176942459"</w:instrText>
          </w:r>
          <w:r>
            <w:fldChar w:fldCharType="separate"/>
          </w:r>
          <w:r>
            <w:rPr>
              <w:rFonts w:ascii="仿宋" w:eastAsia="仿宋" w:hAnsi="仿宋" w:hint="eastAsia"/>
              <w:sz w:val="32"/>
              <w:szCs w:val="32"/>
            </w:rPr>
            <w:t>五、一</w:t>
          </w:r>
          <w:r>
            <w:rPr>
              <w:rFonts w:ascii="仿宋" w:eastAsia="仿宋" w:cs="Times New Roman" w:hAnsi="仿宋" w:hint="eastAsia"/>
              <w:bCs/>
              <w:sz w:val="32"/>
              <w:szCs w:val="32"/>
            </w:rPr>
            <w:t>般公共预算财政拨款支出决算情况说明</w:t>
          </w:r>
          <w:r>
            <w:rPr>
              <w:rFonts w:ascii="仿宋" w:eastAsia="仿宋" w:hAnsi="仿宋"/>
              <w:sz w:val="32"/>
              <w:szCs w:val="32"/>
            </w:rPr>
            <w:tab/>
          </w:r>
          <w:r>
            <w:rPr>
              <w:rFonts w:ascii="仿宋" w:eastAsia="仿宋" w:hAnsi="仿宋"/>
              <w:sz w:val="32"/>
              <w:szCs w:val="32"/>
            </w:rPr>
            <w:fldChar w:fldCharType="begin"/>
          </w:r>
          <w:r>
            <w:rPr>
              <w:rFonts w:ascii="仿宋" w:eastAsia="仿宋" w:hAnsi="仿宋"/>
              <w:sz w:val="32"/>
              <w:szCs w:val="32"/>
            </w:rPr>
            <w:instrText xml:space="preserve"> PAGEREF _Toc176942459 \h </w:instrText>
          </w:r>
          <w:r>
            <w:rPr>
              <w:rFonts w:ascii="仿宋" w:eastAsia="仿宋" w:hAnsi="仿宋"/>
              <w:sz w:val="32"/>
              <w:szCs w:val="32"/>
            </w:rPr>
            <w:fldChar w:fldCharType="separate"/>
          </w:r>
          <w:r>
            <w:rPr>
              <w:rFonts w:ascii="仿宋" w:eastAsia="仿宋" w:hAnsi="仿宋"/>
              <w:sz w:val="32"/>
              <w:szCs w:val="32"/>
            </w:rPr>
            <w:t>10</w:t>
          </w:r>
          <w:r>
            <w:rPr>
              <w:rFonts w:ascii="仿宋" w:eastAsia="仿宋" w:hAnsi="仿宋"/>
              <w:sz w:val="32"/>
              <w:szCs w:val="32"/>
            </w:rPr>
            <w:fldChar w:fldCharType="end"/>
          </w:r>
          <w:r>
            <w:fldChar w:fldCharType="end"/>
          </w:r>
        </w:p>
        <w:p>
          <w:pPr>
            <w:pStyle w:val="18"/>
            <w:tabs>
              <w:tab w:val="right" w:leader="dot" w:pos="8296"/>
            </w:tabs>
            <w:rPr>
              <w:rFonts w:ascii="仿宋" w:eastAsia="仿宋" w:cs="Arial" w:hAnsi="仿宋"/>
              <w:sz w:val="32"/>
              <w:szCs w:val="32"/>
            </w:rPr>
          </w:pPr>
          <w:r>
            <w:fldChar w:fldCharType="begin"/>
          </w:r>
          <w:r>
            <w:instrText>Hyperlink \l "_Toc176942460"</w:instrText>
          </w:r>
          <w:r>
            <w:fldChar w:fldCharType="separate"/>
          </w:r>
          <w:r>
            <w:rPr>
              <w:rFonts w:ascii="仿宋" w:eastAsia="仿宋" w:hAnsi="仿宋" w:hint="eastAsia"/>
              <w:sz w:val="32"/>
              <w:szCs w:val="32"/>
            </w:rPr>
            <w:t>（一）一般公共预算财政拨款支出决算总体情况</w:t>
          </w:r>
          <w:r>
            <w:rPr>
              <w:rFonts w:ascii="仿宋" w:eastAsia="仿宋" w:hAnsi="仿宋"/>
              <w:sz w:val="32"/>
              <w:szCs w:val="32"/>
            </w:rPr>
            <w:tab/>
          </w:r>
          <w:r>
            <w:rPr>
              <w:rFonts w:ascii="仿宋" w:eastAsia="仿宋" w:hAnsi="仿宋"/>
              <w:sz w:val="32"/>
              <w:szCs w:val="32"/>
            </w:rPr>
            <w:fldChar w:fldCharType="begin"/>
          </w:r>
          <w:r>
            <w:rPr>
              <w:rFonts w:ascii="仿宋" w:eastAsia="仿宋" w:hAnsi="仿宋"/>
              <w:sz w:val="32"/>
              <w:szCs w:val="32"/>
            </w:rPr>
            <w:instrText xml:space="preserve"> PAGEREF _Toc176942460 \h </w:instrText>
          </w:r>
          <w:r>
            <w:rPr>
              <w:rFonts w:ascii="仿宋" w:eastAsia="仿宋" w:hAnsi="仿宋"/>
              <w:sz w:val="32"/>
              <w:szCs w:val="32"/>
            </w:rPr>
            <w:fldChar w:fldCharType="separate"/>
          </w:r>
          <w:r>
            <w:rPr>
              <w:rFonts w:ascii="仿宋" w:eastAsia="仿宋" w:hAnsi="仿宋"/>
              <w:sz w:val="32"/>
              <w:szCs w:val="32"/>
            </w:rPr>
            <w:t>10</w:t>
          </w:r>
          <w:r>
            <w:rPr>
              <w:rFonts w:ascii="仿宋" w:eastAsia="仿宋" w:hAnsi="仿宋"/>
              <w:sz w:val="32"/>
              <w:szCs w:val="32"/>
            </w:rPr>
            <w:fldChar w:fldCharType="end"/>
          </w:r>
          <w:r>
            <w:fldChar w:fldCharType="end"/>
          </w:r>
        </w:p>
        <w:p>
          <w:pPr>
            <w:pStyle w:val="18"/>
            <w:tabs>
              <w:tab w:val="right" w:leader="dot" w:pos="8296"/>
            </w:tabs>
            <w:rPr>
              <w:rFonts w:ascii="仿宋" w:eastAsia="仿宋" w:cs="Arial" w:hAnsi="仿宋"/>
              <w:sz w:val="32"/>
              <w:szCs w:val="32"/>
            </w:rPr>
          </w:pPr>
          <w:r>
            <w:fldChar w:fldCharType="begin"/>
          </w:r>
          <w:r>
            <w:instrText>Hyperlink \l "_Toc176942461"</w:instrText>
          </w:r>
          <w:r>
            <w:fldChar w:fldCharType="separate"/>
          </w:r>
          <w:r>
            <w:rPr>
              <w:rFonts w:ascii="仿宋" w:eastAsia="仿宋" w:hAnsi="仿宋" w:hint="eastAsia"/>
              <w:sz w:val="32"/>
              <w:szCs w:val="32"/>
            </w:rPr>
            <w:t>（二）一般公共预算财政拨款支出决算结构情况</w:t>
          </w:r>
          <w:r>
            <w:rPr>
              <w:rFonts w:ascii="仿宋" w:eastAsia="仿宋" w:hAnsi="仿宋"/>
              <w:sz w:val="32"/>
              <w:szCs w:val="32"/>
            </w:rPr>
            <w:tab/>
          </w:r>
          <w:r>
            <w:rPr>
              <w:rFonts w:ascii="仿宋" w:eastAsia="仿宋" w:hAnsi="仿宋"/>
              <w:sz w:val="32"/>
              <w:szCs w:val="32"/>
            </w:rPr>
            <w:fldChar w:fldCharType="begin"/>
          </w:r>
          <w:r>
            <w:rPr>
              <w:rFonts w:ascii="仿宋" w:eastAsia="仿宋" w:hAnsi="仿宋"/>
              <w:sz w:val="32"/>
              <w:szCs w:val="32"/>
            </w:rPr>
            <w:instrText xml:space="preserve"> PAGEREF _Toc176942461 \h </w:instrText>
          </w:r>
          <w:r>
            <w:rPr>
              <w:rFonts w:ascii="仿宋" w:eastAsia="仿宋" w:hAnsi="仿宋"/>
              <w:sz w:val="32"/>
              <w:szCs w:val="32"/>
            </w:rPr>
            <w:fldChar w:fldCharType="separate"/>
          </w:r>
          <w:r>
            <w:rPr>
              <w:rFonts w:ascii="仿宋" w:eastAsia="仿宋" w:hAnsi="仿宋"/>
              <w:sz w:val="32"/>
              <w:szCs w:val="32"/>
            </w:rPr>
            <w:t>11</w:t>
          </w:r>
          <w:r>
            <w:rPr>
              <w:rFonts w:ascii="仿宋" w:eastAsia="仿宋" w:hAnsi="仿宋"/>
              <w:sz w:val="32"/>
              <w:szCs w:val="32"/>
            </w:rPr>
            <w:fldChar w:fldCharType="end"/>
          </w:r>
          <w:r>
            <w:fldChar w:fldCharType="end"/>
          </w:r>
        </w:p>
        <w:p>
          <w:pPr>
            <w:pStyle w:val="18"/>
            <w:tabs>
              <w:tab w:val="right" w:leader="dot" w:pos="8296"/>
            </w:tabs>
            <w:rPr>
              <w:rFonts w:ascii="仿宋" w:eastAsia="仿宋" w:cs="Arial" w:hAnsi="仿宋"/>
              <w:sz w:val="32"/>
              <w:szCs w:val="32"/>
            </w:rPr>
          </w:pPr>
          <w:r>
            <w:fldChar w:fldCharType="begin"/>
          </w:r>
          <w:r>
            <w:instrText>Hyperlink \l "_Toc176942462"</w:instrText>
          </w:r>
          <w:r>
            <w:fldChar w:fldCharType="separate"/>
          </w:r>
          <w:r>
            <w:rPr>
              <w:rFonts w:ascii="仿宋" w:eastAsia="仿宋" w:hAnsi="仿宋" w:hint="eastAsia"/>
              <w:sz w:val="32"/>
              <w:szCs w:val="32"/>
            </w:rPr>
            <w:t>（三）一般公共预算财政拨款支出决算具体情况</w:t>
          </w:r>
          <w:r>
            <w:rPr>
              <w:rFonts w:ascii="仿宋" w:eastAsia="仿宋" w:hAnsi="仿宋"/>
              <w:sz w:val="32"/>
              <w:szCs w:val="32"/>
            </w:rPr>
            <w:tab/>
          </w:r>
          <w:r>
            <w:rPr>
              <w:rFonts w:ascii="仿宋" w:eastAsia="仿宋" w:hAnsi="仿宋"/>
              <w:sz w:val="32"/>
              <w:szCs w:val="32"/>
            </w:rPr>
            <w:fldChar w:fldCharType="begin"/>
          </w:r>
          <w:r>
            <w:rPr>
              <w:rFonts w:ascii="仿宋" w:eastAsia="仿宋" w:hAnsi="仿宋"/>
              <w:sz w:val="32"/>
              <w:szCs w:val="32"/>
            </w:rPr>
            <w:instrText xml:space="preserve"> PAGEREF _Toc176942462 \h </w:instrText>
          </w:r>
          <w:r>
            <w:rPr>
              <w:rFonts w:ascii="仿宋" w:eastAsia="仿宋" w:hAnsi="仿宋"/>
              <w:sz w:val="32"/>
              <w:szCs w:val="32"/>
            </w:rPr>
            <w:fldChar w:fldCharType="separate"/>
          </w:r>
          <w:r>
            <w:rPr>
              <w:rFonts w:ascii="仿宋" w:eastAsia="仿宋" w:hAnsi="仿宋"/>
              <w:sz w:val="32"/>
              <w:szCs w:val="32"/>
            </w:rPr>
            <w:t>12</w:t>
          </w:r>
          <w:r>
            <w:rPr>
              <w:rFonts w:ascii="仿宋" w:eastAsia="仿宋" w:hAnsi="仿宋"/>
              <w:sz w:val="32"/>
              <w:szCs w:val="32"/>
            </w:rPr>
            <w:fldChar w:fldCharType="end"/>
          </w:r>
          <w:r>
            <w:fldChar w:fldCharType="end"/>
          </w:r>
        </w:p>
        <w:p>
          <w:pPr>
            <w:pStyle w:val="23"/>
            <w:tabs>
              <w:tab w:val="right" w:leader="dot" w:pos="8296"/>
            </w:tabs>
            <w:rPr>
              <w:rFonts w:ascii="仿宋" w:eastAsia="仿宋" w:cs="Arial" w:hAnsi="仿宋"/>
              <w:sz w:val="32"/>
              <w:szCs w:val="32"/>
            </w:rPr>
          </w:pPr>
          <w:r>
            <w:fldChar w:fldCharType="begin"/>
          </w:r>
          <w:r>
            <w:instrText>Hyperlink \l "_Toc176942464"</w:instrText>
          </w:r>
          <w:r>
            <w:fldChar w:fldCharType="separate"/>
          </w:r>
          <w:r>
            <w:rPr>
              <w:rFonts w:ascii="仿宋" w:eastAsia="仿宋" w:hAnsi="仿宋" w:hint="eastAsia"/>
              <w:sz w:val="32"/>
              <w:szCs w:val="32"/>
            </w:rPr>
            <w:t>六、一</w:t>
          </w:r>
          <w:r>
            <w:rPr>
              <w:rFonts w:ascii="仿宋" w:eastAsia="仿宋" w:cs="Times New Roman" w:hAnsi="仿宋" w:hint="eastAsia"/>
              <w:bCs/>
              <w:sz w:val="32"/>
              <w:szCs w:val="32"/>
            </w:rPr>
            <w:t>般公共预算财政拨款基本支出决算情况说明</w:t>
          </w:r>
          <w:r>
            <w:rPr>
              <w:rFonts w:ascii="仿宋" w:eastAsia="仿宋" w:hAnsi="仿宋"/>
              <w:sz w:val="32"/>
              <w:szCs w:val="32"/>
            </w:rPr>
            <w:tab/>
          </w:r>
          <w:r>
            <w:rPr>
              <w:rFonts w:ascii="仿宋" w:eastAsia="仿宋" w:hAnsi="仿宋"/>
              <w:sz w:val="32"/>
              <w:szCs w:val="32"/>
            </w:rPr>
            <w:fldChar w:fldCharType="begin"/>
          </w:r>
          <w:r>
            <w:rPr>
              <w:rFonts w:ascii="仿宋" w:eastAsia="仿宋" w:hAnsi="仿宋"/>
              <w:sz w:val="32"/>
              <w:szCs w:val="32"/>
            </w:rPr>
            <w:instrText xml:space="preserve"> PAGEREF _Toc176942464 \h </w:instrText>
          </w:r>
          <w:r>
            <w:rPr>
              <w:rFonts w:ascii="仿宋" w:eastAsia="仿宋" w:hAnsi="仿宋"/>
              <w:sz w:val="32"/>
              <w:szCs w:val="32"/>
            </w:rPr>
            <w:fldChar w:fldCharType="separate"/>
          </w:r>
          <w:r>
            <w:rPr>
              <w:rFonts w:ascii="仿宋" w:eastAsia="仿宋" w:hAnsi="仿宋"/>
              <w:sz w:val="32"/>
              <w:szCs w:val="32"/>
            </w:rPr>
            <w:t>14</w:t>
          </w:r>
          <w:r>
            <w:rPr>
              <w:rFonts w:ascii="仿宋" w:eastAsia="仿宋" w:hAnsi="仿宋"/>
              <w:sz w:val="32"/>
              <w:szCs w:val="32"/>
            </w:rPr>
            <w:fldChar w:fldCharType="end"/>
          </w:r>
          <w:r>
            <w:fldChar w:fldCharType="end"/>
          </w:r>
        </w:p>
        <w:p>
          <w:pPr>
            <w:pStyle w:val="23"/>
            <w:tabs>
              <w:tab w:val="right" w:leader="dot" w:pos="8296"/>
            </w:tabs>
            <w:rPr>
              <w:rFonts w:ascii="仿宋" w:eastAsia="仿宋" w:cs="Arial" w:hAnsi="仿宋"/>
              <w:sz w:val="32"/>
              <w:szCs w:val="32"/>
            </w:rPr>
          </w:pPr>
          <w:r>
            <w:fldChar w:fldCharType="begin"/>
          </w:r>
          <w:r>
            <w:instrText>Hyperlink \l "_Toc176942465"</w:instrText>
          </w:r>
          <w:r>
            <w:fldChar w:fldCharType="separate"/>
          </w:r>
          <w:r>
            <w:rPr>
              <w:rFonts w:ascii="仿宋" w:eastAsia="仿宋" w:hAnsi="仿宋" w:hint="eastAsia"/>
              <w:sz w:val="32"/>
              <w:szCs w:val="32"/>
            </w:rPr>
            <w:t>七、</w:t>
          </w:r>
          <w:r>
            <w:rPr>
              <w:rFonts w:ascii="仿宋" w:eastAsia="仿宋" w:cs="Times New Roman" w:hAnsi="仿宋" w:hint="eastAsia"/>
              <w:bCs/>
              <w:sz w:val="32"/>
              <w:szCs w:val="32"/>
            </w:rPr>
            <w:t>财政拨款</w:t>
          </w:r>
          <w:r>
            <w:rPr>
              <w:rFonts w:ascii="仿宋" w:eastAsia="仿宋" w:cs="Times New Roman" w:hAnsi="仿宋"/>
              <w:bCs/>
              <w:sz w:val="32"/>
              <w:szCs w:val="32"/>
            </w:rPr>
            <w:t>“</w:t>
          </w:r>
          <w:r>
            <w:rPr>
              <w:rFonts w:ascii="仿宋" w:eastAsia="仿宋" w:cs="Times New Roman" w:hAnsi="仿宋" w:hint="eastAsia"/>
              <w:bCs/>
              <w:sz w:val="32"/>
              <w:szCs w:val="32"/>
            </w:rPr>
            <w:t>三公”经费支出决算情况说明</w:t>
          </w:r>
          <w:r>
            <w:rPr>
              <w:rFonts w:ascii="仿宋" w:eastAsia="仿宋" w:hAnsi="仿宋"/>
              <w:sz w:val="32"/>
              <w:szCs w:val="32"/>
            </w:rPr>
            <w:tab/>
          </w:r>
          <w:r>
            <w:rPr>
              <w:rFonts w:ascii="仿宋" w:eastAsia="仿宋" w:hAnsi="仿宋"/>
              <w:sz w:val="32"/>
              <w:szCs w:val="32"/>
            </w:rPr>
            <w:fldChar w:fldCharType="begin"/>
          </w:r>
          <w:r>
            <w:rPr>
              <w:rFonts w:ascii="仿宋" w:eastAsia="仿宋" w:hAnsi="仿宋"/>
              <w:sz w:val="32"/>
              <w:szCs w:val="32"/>
            </w:rPr>
            <w:instrText xml:space="preserve"> PAGEREF _Toc176942465 \h </w:instrText>
          </w:r>
          <w:r>
            <w:rPr>
              <w:rFonts w:ascii="仿宋" w:eastAsia="仿宋" w:hAnsi="仿宋"/>
              <w:sz w:val="32"/>
              <w:szCs w:val="32"/>
            </w:rPr>
            <w:fldChar w:fldCharType="separate"/>
          </w:r>
          <w:r>
            <w:rPr>
              <w:rFonts w:ascii="仿宋" w:eastAsia="仿宋" w:hAnsi="仿宋"/>
              <w:sz w:val="32"/>
              <w:szCs w:val="32"/>
            </w:rPr>
            <w:t>15</w:t>
          </w:r>
          <w:r>
            <w:rPr>
              <w:rFonts w:ascii="仿宋" w:eastAsia="仿宋" w:hAnsi="仿宋"/>
              <w:sz w:val="32"/>
              <w:szCs w:val="32"/>
            </w:rPr>
            <w:fldChar w:fldCharType="end"/>
          </w:r>
          <w:r>
            <w:fldChar w:fldCharType="end"/>
          </w:r>
        </w:p>
        <w:p>
          <w:pPr>
            <w:pStyle w:val="18"/>
            <w:tabs>
              <w:tab w:val="right" w:leader="dot" w:pos="8296"/>
            </w:tabs>
            <w:rPr>
              <w:rFonts w:ascii="仿宋" w:eastAsia="仿宋" w:cs="Arial" w:hAnsi="仿宋"/>
              <w:sz w:val="32"/>
              <w:szCs w:val="32"/>
            </w:rPr>
          </w:pPr>
          <w:r>
            <w:fldChar w:fldCharType="begin"/>
          </w:r>
          <w:r>
            <w:instrText>Hyperlink \l "_Toc176942466"</w:instrText>
          </w:r>
          <w:r>
            <w:fldChar w:fldCharType="separate"/>
          </w:r>
          <w:r>
            <w:rPr>
              <w:rFonts w:ascii="仿宋" w:eastAsia="仿宋" w:hAnsi="仿宋" w:hint="eastAsia"/>
              <w:sz w:val="32"/>
              <w:szCs w:val="32"/>
            </w:rPr>
            <w:t>（一）“三公”经费财政拨款支出决算总体情况说明</w:t>
          </w:r>
          <w:r>
            <w:rPr>
              <w:rFonts w:ascii="仿宋" w:eastAsia="仿宋" w:hAnsi="仿宋"/>
              <w:sz w:val="32"/>
              <w:szCs w:val="32"/>
            </w:rPr>
            <w:tab/>
          </w:r>
          <w:r>
            <w:rPr>
              <w:rFonts w:ascii="仿宋" w:eastAsia="仿宋" w:hAnsi="仿宋"/>
              <w:sz w:val="32"/>
              <w:szCs w:val="32"/>
            </w:rPr>
            <w:fldChar w:fldCharType="begin"/>
          </w:r>
          <w:r>
            <w:rPr>
              <w:rFonts w:ascii="仿宋" w:eastAsia="仿宋" w:hAnsi="仿宋"/>
              <w:sz w:val="32"/>
              <w:szCs w:val="32"/>
            </w:rPr>
            <w:instrText xml:space="preserve"> PAGEREF _Toc176942466 \h </w:instrText>
          </w:r>
          <w:r>
            <w:rPr>
              <w:rFonts w:ascii="仿宋" w:eastAsia="仿宋" w:hAnsi="仿宋"/>
              <w:sz w:val="32"/>
              <w:szCs w:val="32"/>
            </w:rPr>
            <w:fldChar w:fldCharType="separate"/>
          </w:r>
          <w:r>
            <w:rPr>
              <w:rFonts w:ascii="仿宋" w:eastAsia="仿宋" w:hAnsi="仿宋"/>
              <w:sz w:val="32"/>
              <w:szCs w:val="32"/>
            </w:rPr>
            <w:t>15</w:t>
          </w:r>
          <w:r>
            <w:rPr>
              <w:rFonts w:ascii="仿宋" w:eastAsia="仿宋" w:hAnsi="仿宋"/>
              <w:sz w:val="32"/>
              <w:szCs w:val="32"/>
            </w:rPr>
            <w:fldChar w:fldCharType="end"/>
          </w:r>
          <w:r>
            <w:fldChar w:fldCharType="end"/>
          </w:r>
        </w:p>
        <w:p>
          <w:pPr>
            <w:pStyle w:val="18"/>
            <w:tabs>
              <w:tab w:val="right" w:leader="dot" w:pos="8296"/>
            </w:tabs>
            <w:rPr>
              <w:rFonts w:ascii="仿宋" w:eastAsia="仿宋" w:cs="Arial" w:hAnsi="仿宋"/>
              <w:sz w:val="32"/>
              <w:szCs w:val="32"/>
            </w:rPr>
          </w:pPr>
          <w:r>
            <w:fldChar w:fldCharType="begin"/>
          </w:r>
          <w:r>
            <w:instrText>Hyperlink \l "_Toc176942467"</w:instrText>
          </w:r>
          <w:r>
            <w:fldChar w:fldCharType="separate"/>
          </w:r>
          <w:r>
            <w:rPr>
              <w:rFonts w:ascii="仿宋" w:eastAsia="仿宋" w:hAnsi="仿宋" w:hint="eastAsia"/>
              <w:sz w:val="32"/>
              <w:szCs w:val="32"/>
            </w:rPr>
            <w:t>（二）“三公”经费财政拨款支出决算具体情况说明</w:t>
          </w:r>
          <w:r>
            <w:rPr>
              <w:rFonts w:ascii="仿宋" w:eastAsia="仿宋" w:hAnsi="仿宋"/>
              <w:sz w:val="32"/>
              <w:szCs w:val="32"/>
            </w:rPr>
            <w:tab/>
          </w:r>
          <w:r>
            <w:rPr>
              <w:rFonts w:ascii="仿宋" w:eastAsia="仿宋" w:hAnsi="仿宋"/>
              <w:sz w:val="32"/>
              <w:szCs w:val="32"/>
            </w:rPr>
            <w:fldChar w:fldCharType="begin"/>
          </w:r>
          <w:r>
            <w:rPr>
              <w:rFonts w:ascii="仿宋" w:eastAsia="仿宋" w:hAnsi="仿宋"/>
              <w:sz w:val="32"/>
              <w:szCs w:val="32"/>
            </w:rPr>
            <w:instrText xml:space="preserve"> PAGEREF _Toc176942467 \h </w:instrText>
          </w:r>
          <w:r>
            <w:rPr>
              <w:rFonts w:ascii="仿宋" w:eastAsia="仿宋" w:hAnsi="仿宋"/>
              <w:sz w:val="32"/>
              <w:szCs w:val="32"/>
            </w:rPr>
            <w:fldChar w:fldCharType="separate"/>
          </w:r>
          <w:r>
            <w:rPr>
              <w:rFonts w:ascii="仿宋" w:eastAsia="仿宋" w:hAnsi="仿宋"/>
              <w:sz w:val="32"/>
              <w:szCs w:val="32"/>
            </w:rPr>
            <w:t>15</w:t>
          </w:r>
          <w:r>
            <w:rPr>
              <w:rFonts w:ascii="仿宋" w:eastAsia="仿宋" w:hAnsi="仿宋"/>
              <w:sz w:val="32"/>
              <w:szCs w:val="32"/>
            </w:rPr>
            <w:fldChar w:fldCharType="end"/>
          </w:r>
          <w:r>
            <w:fldChar w:fldCharType="end"/>
          </w:r>
        </w:p>
        <w:p>
          <w:pPr>
            <w:pStyle w:val="23"/>
            <w:tabs>
              <w:tab w:val="right" w:leader="dot" w:pos="8296"/>
            </w:tabs>
            <w:rPr>
              <w:rFonts w:ascii="仿宋" w:eastAsia="仿宋" w:cs="Arial" w:hAnsi="仿宋"/>
              <w:sz w:val="32"/>
              <w:szCs w:val="32"/>
            </w:rPr>
          </w:pPr>
          <w:r>
            <w:fldChar w:fldCharType="begin"/>
          </w:r>
          <w:r>
            <w:instrText>Hyperlink \l "_Toc176942468"</w:instrText>
          </w:r>
          <w:r>
            <w:fldChar w:fldCharType="separate"/>
          </w:r>
          <w:r>
            <w:rPr>
              <w:rFonts w:ascii="仿宋" w:eastAsia="仿宋" w:hAnsi="仿宋" w:hint="eastAsia"/>
              <w:sz w:val="32"/>
              <w:szCs w:val="32"/>
            </w:rPr>
            <w:t>八、</w:t>
          </w:r>
          <w:r>
            <w:rPr>
              <w:rFonts w:ascii="仿宋" w:eastAsia="仿宋" w:cs="Times New Roman" w:hAnsi="仿宋" w:hint="eastAsia"/>
              <w:bCs/>
              <w:sz w:val="32"/>
              <w:szCs w:val="32"/>
            </w:rPr>
            <w:t>政府性基金预算支出决算情况说明</w:t>
          </w:r>
          <w:r>
            <w:rPr>
              <w:rFonts w:ascii="仿宋" w:eastAsia="仿宋" w:hAnsi="仿宋"/>
              <w:sz w:val="32"/>
              <w:szCs w:val="32"/>
            </w:rPr>
            <w:tab/>
          </w:r>
          <w:r>
            <w:rPr>
              <w:rFonts w:ascii="仿宋" w:eastAsia="仿宋" w:hAnsi="仿宋"/>
              <w:sz w:val="32"/>
              <w:szCs w:val="32"/>
            </w:rPr>
            <w:fldChar w:fldCharType="begin"/>
          </w:r>
          <w:r>
            <w:rPr>
              <w:rFonts w:ascii="仿宋" w:eastAsia="仿宋" w:hAnsi="仿宋"/>
              <w:sz w:val="32"/>
              <w:szCs w:val="32"/>
            </w:rPr>
            <w:instrText xml:space="preserve"> PAGEREF _Toc176942468 \h </w:instrText>
          </w:r>
          <w:r>
            <w:rPr>
              <w:rFonts w:ascii="仿宋" w:eastAsia="仿宋" w:hAnsi="仿宋"/>
              <w:sz w:val="32"/>
              <w:szCs w:val="32"/>
            </w:rPr>
            <w:fldChar w:fldCharType="separate"/>
          </w:r>
          <w:r>
            <w:rPr>
              <w:rFonts w:ascii="仿宋" w:eastAsia="仿宋" w:hAnsi="仿宋"/>
              <w:sz w:val="32"/>
              <w:szCs w:val="32"/>
            </w:rPr>
            <w:t>18</w:t>
          </w:r>
          <w:r>
            <w:rPr>
              <w:rFonts w:ascii="仿宋" w:eastAsia="仿宋" w:hAnsi="仿宋"/>
              <w:sz w:val="32"/>
              <w:szCs w:val="32"/>
            </w:rPr>
            <w:fldChar w:fldCharType="end"/>
          </w:r>
          <w:r>
            <w:fldChar w:fldCharType="end"/>
          </w:r>
        </w:p>
        <w:p>
          <w:pPr>
            <w:pStyle w:val="23"/>
            <w:tabs>
              <w:tab w:val="right" w:leader="dot" w:pos="8296"/>
            </w:tabs>
            <w:rPr>
              <w:rFonts w:ascii="仿宋" w:eastAsia="仿宋" w:cs="Arial" w:hAnsi="仿宋"/>
              <w:sz w:val="32"/>
              <w:szCs w:val="32"/>
            </w:rPr>
          </w:pPr>
          <w:r>
            <w:fldChar w:fldCharType="begin"/>
          </w:r>
          <w:r>
            <w:instrText>Hyperlink \l "_Toc176942469"</w:instrText>
          </w:r>
          <w:r>
            <w:fldChar w:fldCharType="separate"/>
          </w:r>
          <w:r>
            <w:rPr>
              <w:rFonts w:ascii="仿宋" w:eastAsia="仿宋" w:cs="Times New Roman" w:hAnsi="仿宋" w:hint="eastAsia"/>
              <w:bCs/>
              <w:sz w:val="32"/>
              <w:szCs w:val="32"/>
            </w:rPr>
            <w:t>九、 国有资本经营预算支出决算情况说明</w:t>
          </w:r>
          <w:r>
            <w:rPr>
              <w:rFonts w:ascii="仿宋" w:eastAsia="仿宋" w:hAnsi="仿宋"/>
              <w:sz w:val="32"/>
              <w:szCs w:val="32"/>
            </w:rPr>
            <w:tab/>
          </w:r>
          <w:r>
            <w:rPr>
              <w:rFonts w:ascii="仿宋" w:eastAsia="仿宋" w:hAnsi="仿宋"/>
              <w:sz w:val="32"/>
              <w:szCs w:val="32"/>
            </w:rPr>
            <w:fldChar w:fldCharType="begin"/>
          </w:r>
          <w:r>
            <w:rPr>
              <w:rFonts w:ascii="仿宋" w:eastAsia="仿宋" w:hAnsi="仿宋"/>
              <w:sz w:val="32"/>
              <w:szCs w:val="32"/>
            </w:rPr>
            <w:instrText xml:space="preserve"> PAGEREF _Toc176942469 \h </w:instrText>
          </w:r>
          <w:r>
            <w:rPr>
              <w:rFonts w:ascii="仿宋" w:eastAsia="仿宋" w:hAnsi="仿宋"/>
              <w:sz w:val="32"/>
              <w:szCs w:val="32"/>
            </w:rPr>
            <w:fldChar w:fldCharType="separate"/>
          </w:r>
          <w:r>
            <w:rPr>
              <w:rFonts w:ascii="仿宋" w:eastAsia="仿宋" w:hAnsi="仿宋"/>
              <w:sz w:val="32"/>
              <w:szCs w:val="32"/>
            </w:rPr>
            <w:t>18</w:t>
          </w:r>
          <w:r>
            <w:rPr>
              <w:rFonts w:ascii="仿宋" w:eastAsia="仿宋" w:hAnsi="仿宋"/>
              <w:sz w:val="32"/>
              <w:szCs w:val="32"/>
            </w:rPr>
            <w:fldChar w:fldCharType="end"/>
          </w:r>
          <w:r>
            <w:fldChar w:fldCharType="end"/>
          </w:r>
        </w:p>
        <w:p>
          <w:pPr>
            <w:pStyle w:val="23"/>
            <w:tabs>
              <w:tab w:val="right" w:leader="dot" w:pos="8296"/>
            </w:tabs>
            <w:rPr>
              <w:rFonts w:ascii="仿宋" w:eastAsia="仿宋" w:cs="Arial" w:hAnsi="仿宋"/>
              <w:sz w:val="32"/>
              <w:szCs w:val="32"/>
            </w:rPr>
          </w:pPr>
          <w:r>
            <w:fldChar w:fldCharType="begin"/>
          </w:r>
          <w:r>
            <w:instrText>Hyperlink \l "_Toc176942470"</w:instrText>
          </w:r>
          <w:r>
            <w:fldChar w:fldCharType="separate"/>
          </w:r>
          <w:r>
            <w:rPr>
              <w:rFonts w:ascii="仿宋" w:eastAsia="仿宋" w:cs="Times New Roman" w:hAnsi="仿宋" w:hint="eastAsia"/>
              <w:bCs/>
              <w:sz w:val="32"/>
              <w:szCs w:val="32"/>
            </w:rPr>
            <w:t>十、 其他重要事项的情况说明</w:t>
          </w:r>
          <w:r>
            <w:rPr>
              <w:rFonts w:ascii="仿宋" w:eastAsia="仿宋" w:hAnsi="仿宋"/>
              <w:sz w:val="32"/>
              <w:szCs w:val="32"/>
            </w:rPr>
            <w:tab/>
          </w:r>
          <w:r>
            <w:rPr>
              <w:rFonts w:ascii="仿宋" w:eastAsia="仿宋" w:hAnsi="仿宋"/>
              <w:sz w:val="32"/>
              <w:szCs w:val="32"/>
            </w:rPr>
            <w:fldChar w:fldCharType="begin"/>
          </w:r>
          <w:r>
            <w:rPr>
              <w:rFonts w:ascii="仿宋" w:eastAsia="仿宋" w:hAnsi="仿宋"/>
              <w:sz w:val="32"/>
              <w:szCs w:val="32"/>
            </w:rPr>
            <w:instrText xml:space="preserve"> PAGEREF _Toc176942470 \h </w:instrText>
          </w:r>
          <w:r>
            <w:rPr>
              <w:rFonts w:ascii="仿宋" w:eastAsia="仿宋" w:hAnsi="仿宋"/>
              <w:sz w:val="32"/>
              <w:szCs w:val="32"/>
            </w:rPr>
            <w:fldChar w:fldCharType="separate"/>
          </w:r>
          <w:r>
            <w:rPr>
              <w:rFonts w:ascii="仿宋" w:eastAsia="仿宋" w:hAnsi="仿宋"/>
              <w:sz w:val="32"/>
              <w:szCs w:val="32"/>
            </w:rPr>
            <w:t>18</w:t>
          </w:r>
          <w:r>
            <w:rPr>
              <w:rFonts w:ascii="仿宋" w:eastAsia="仿宋" w:hAnsi="仿宋"/>
              <w:sz w:val="32"/>
              <w:szCs w:val="32"/>
            </w:rPr>
            <w:fldChar w:fldCharType="end"/>
          </w:r>
          <w:r>
            <w:fldChar w:fldCharType="end"/>
          </w:r>
        </w:p>
        <w:p>
          <w:pPr>
            <w:pStyle w:val="18"/>
            <w:tabs>
              <w:tab w:val="right" w:leader="dot" w:pos="8296"/>
            </w:tabs>
            <w:rPr>
              <w:rFonts w:ascii="仿宋" w:eastAsia="仿宋" w:cs="Arial" w:hAnsi="仿宋"/>
              <w:sz w:val="32"/>
              <w:szCs w:val="32"/>
            </w:rPr>
          </w:pPr>
          <w:r>
            <w:fldChar w:fldCharType="begin"/>
          </w:r>
          <w:r>
            <w:instrText>Hyperlink \l "_Toc176942471"</w:instrText>
          </w:r>
          <w:r>
            <w:fldChar w:fldCharType="separate"/>
          </w:r>
          <w:r>
            <w:rPr>
              <w:rFonts w:ascii="仿宋" w:eastAsia="仿宋" w:hAnsi="仿宋" w:hint="eastAsia"/>
              <w:sz w:val="32"/>
              <w:szCs w:val="32"/>
            </w:rPr>
            <w:t>（一）机关运行经费支出情况</w:t>
          </w:r>
          <w:r>
            <w:rPr>
              <w:rFonts w:ascii="仿宋" w:eastAsia="仿宋" w:hAnsi="仿宋"/>
              <w:sz w:val="32"/>
              <w:szCs w:val="32"/>
            </w:rPr>
            <w:tab/>
          </w:r>
          <w:r>
            <w:rPr>
              <w:rFonts w:ascii="仿宋" w:eastAsia="仿宋" w:hAnsi="仿宋"/>
              <w:sz w:val="32"/>
              <w:szCs w:val="32"/>
            </w:rPr>
            <w:fldChar w:fldCharType="begin"/>
          </w:r>
          <w:r>
            <w:rPr>
              <w:rFonts w:ascii="仿宋" w:eastAsia="仿宋" w:hAnsi="仿宋"/>
              <w:sz w:val="32"/>
              <w:szCs w:val="32"/>
            </w:rPr>
            <w:instrText xml:space="preserve"> PAGEREF _Toc176942471 \h </w:instrText>
          </w:r>
          <w:r>
            <w:rPr>
              <w:rFonts w:ascii="仿宋" w:eastAsia="仿宋" w:hAnsi="仿宋"/>
              <w:sz w:val="32"/>
              <w:szCs w:val="32"/>
            </w:rPr>
            <w:fldChar w:fldCharType="separate"/>
          </w:r>
          <w:r>
            <w:rPr>
              <w:rFonts w:ascii="仿宋" w:eastAsia="仿宋" w:hAnsi="仿宋"/>
              <w:sz w:val="32"/>
              <w:szCs w:val="32"/>
            </w:rPr>
            <w:t>18</w:t>
          </w:r>
          <w:r>
            <w:rPr>
              <w:rFonts w:ascii="仿宋" w:eastAsia="仿宋" w:hAnsi="仿宋"/>
              <w:sz w:val="32"/>
              <w:szCs w:val="32"/>
            </w:rPr>
            <w:fldChar w:fldCharType="end"/>
          </w:r>
          <w:r>
            <w:fldChar w:fldCharType="end"/>
          </w:r>
        </w:p>
        <w:p>
          <w:pPr>
            <w:pStyle w:val="18"/>
            <w:tabs>
              <w:tab w:val="right" w:leader="dot" w:pos="8296"/>
            </w:tabs>
            <w:rPr>
              <w:rFonts w:ascii="仿宋" w:eastAsia="仿宋" w:cs="Arial" w:hAnsi="仿宋"/>
              <w:sz w:val="32"/>
              <w:szCs w:val="32"/>
            </w:rPr>
          </w:pPr>
          <w:r>
            <w:fldChar w:fldCharType="begin"/>
          </w:r>
          <w:r>
            <w:instrText>Hyperlink \l "_Toc176942472"</w:instrText>
          </w:r>
          <w:r>
            <w:fldChar w:fldCharType="separate"/>
          </w:r>
          <w:r>
            <w:rPr>
              <w:rFonts w:ascii="仿宋" w:eastAsia="仿宋" w:hAnsi="仿宋" w:hint="eastAsia"/>
              <w:sz w:val="32"/>
              <w:szCs w:val="32"/>
            </w:rPr>
            <w:t>（二）政府采购支出情况</w:t>
          </w:r>
          <w:r>
            <w:rPr>
              <w:rFonts w:ascii="仿宋" w:eastAsia="仿宋" w:hAnsi="仿宋"/>
              <w:sz w:val="32"/>
              <w:szCs w:val="32"/>
            </w:rPr>
            <w:tab/>
          </w:r>
          <w:r>
            <w:rPr>
              <w:rFonts w:ascii="仿宋" w:eastAsia="仿宋" w:hAnsi="仿宋"/>
              <w:sz w:val="32"/>
              <w:szCs w:val="32"/>
            </w:rPr>
            <w:fldChar w:fldCharType="begin"/>
          </w:r>
          <w:r>
            <w:rPr>
              <w:rFonts w:ascii="仿宋" w:eastAsia="仿宋" w:hAnsi="仿宋"/>
              <w:sz w:val="32"/>
              <w:szCs w:val="32"/>
            </w:rPr>
            <w:instrText xml:space="preserve"> PAGEREF _Toc176942472 \h </w:instrText>
          </w:r>
          <w:r>
            <w:rPr>
              <w:rFonts w:ascii="仿宋" w:eastAsia="仿宋" w:hAnsi="仿宋"/>
              <w:sz w:val="32"/>
              <w:szCs w:val="32"/>
            </w:rPr>
            <w:fldChar w:fldCharType="separate"/>
          </w:r>
          <w:r>
            <w:rPr>
              <w:rFonts w:ascii="仿宋" w:eastAsia="仿宋" w:hAnsi="仿宋"/>
              <w:sz w:val="32"/>
              <w:szCs w:val="32"/>
            </w:rPr>
            <w:t>18</w:t>
          </w:r>
          <w:r>
            <w:rPr>
              <w:rFonts w:ascii="仿宋" w:eastAsia="仿宋" w:hAnsi="仿宋"/>
              <w:sz w:val="32"/>
              <w:szCs w:val="32"/>
            </w:rPr>
            <w:fldChar w:fldCharType="end"/>
          </w:r>
          <w:r>
            <w:fldChar w:fldCharType="end"/>
          </w:r>
        </w:p>
        <w:p>
          <w:pPr>
            <w:pStyle w:val="18"/>
            <w:tabs>
              <w:tab w:val="right" w:leader="dot" w:pos="8296"/>
            </w:tabs>
            <w:rPr>
              <w:rFonts w:ascii="仿宋" w:eastAsia="仿宋" w:cs="Arial" w:hAnsi="仿宋"/>
              <w:sz w:val="32"/>
              <w:szCs w:val="32"/>
            </w:rPr>
          </w:pPr>
          <w:r>
            <w:fldChar w:fldCharType="begin"/>
          </w:r>
          <w:r>
            <w:instrText>Hyperlink \l "_Toc176942473"</w:instrText>
          </w:r>
          <w:r>
            <w:fldChar w:fldCharType="separate"/>
          </w:r>
          <w:r>
            <w:rPr>
              <w:rFonts w:ascii="仿宋" w:eastAsia="仿宋" w:hAnsi="仿宋" w:hint="eastAsia"/>
              <w:sz w:val="32"/>
              <w:szCs w:val="32"/>
            </w:rPr>
            <w:t>（三）国有资产占有使用情况</w:t>
          </w:r>
          <w:r>
            <w:rPr>
              <w:rFonts w:ascii="仿宋" w:eastAsia="仿宋" w:hAnsi="仿宋"/>
              <w:sz w:val="32"/>
              <w:szCs w:val="32"/>
            </w:rPr>
            <w:tab/>
          </w:r>
          <w:r>
            <w:rPr>
              <w:rFonts w:ascii="仿宋" w:eastAsia="仿宋" w:hAnsi="仿宋"/>
              <w:sz w:val="32"/>
              <w:szCs w:val="32"/>
            </w:rPr>
            <w:fldChar w:fldCharType="begin"/>
          </w:r>
          <w:r>
            <w:rPr>
              <w:rFonts w:ascii="仿宋" w:eastAsia="仿宋" w:hAnsi="仿宋"/>
              <w:sz w:val="32"/>
              <w:szCs w:val="32"/>
            </w:rPr>
            <w:instrText xml:space="preserve"> PAGEREF _Toc176942473 \h </w:instrText>
          </w:r>
          <w:r>
            <w:rPr>
              <w:rFonts w:ascii="仿宋" w:eastAsia="仿宋" w:hAnsi="仿宋"/>
              <w:sz w:val="32"/>
              <w:szCs w:val="32"/>
            </w:rPr>
            <w:fldChar w:fldCharType="separate"/>
          </w:r>
          <w:r>
            <w:rPr>
              <w:rFonts w:ascii="仿宋" w:eastAsia="仿宋" w:hAnsi="仿宋"/>
              <w:sz w:val="32"/>
              <w:szCs w:val="32"/>
            </w:rPr>
            <w:t>18</w:t>
          </w:r>
          <w:r>
            <w:rPr>
              <w:rFonts w:ascii="仿宋" w:eastAsia="仿宋" w:hAnsi="仿宋"/>
              <w:sz w:val="32"/>
              <w:szCs w:val="32"/>
            </w:rPr>
            <w:fldChar w:fldCharType="end"/>
          </w:r>
          <w:r>
            <w:fldChar w:fldCharType="end"/>
          </w:r>
        </w:p>
        <w:p>
          <w:pPr>
            <w:pStyle w:val="18"/>
            <w:tabs>
              <w:tab w:val="right" w:leader="dot" w:pos="8296"/>
            </w:tabs>
            <w:rPr>
              <w:rFonts w:ascii="仿宋" w:eastAsia="仿宋" w:cs="Arial" w:hAnsi="仿宋"/>
              <w:sz w:val="32"/>
              <w:szCs w:val="32"/>
            </w:rPr>
          </w:pPr>
          <w:r>
            <w:fldChar w:fldCharType="begin"/>
          </w:r>
          <w:r>
            <w:instrText>Hyperlink \l "_Toc176942474"</w:instrText>
          </w:r>
          <w:r>
            <w:fldChar w:fldCharType="separate"/>
          </w:r>
          <w:r>
            <w:rPr>
              <w:rFonts w:ascii="仿宋" w:eastAsia="仿宋" w:hAnsi="仿宋" w:hint="eastAsia"/>
              <w:sz w:val="32"/>
              <w:szCs w:val="32"/>
            </w:rPr>
            <w:t>（四）预算绩效管理情况</w:t>
          </w:r>
          <w:r>
            <w:rPr>
              <w:rFonts w:ascii="仿宋" w:eastAsia="仿宋" w:hAnsi="仿宋"/>
              <w:sz w:val="32"/>
              <w:szCs w:val="32"/>
            </w:rPr>
            <w:tab/>
          </w:r>
          <w:r>
            <w:rPr>
              <w:rFonts w:ascii="仿宋" w:eastAsia="仿宋" w:hAnsi="仿宋"/>
              <w:sz w:val="32"/>
              <w:szCs w:val="32"/>
            </w:rPr>
            <w:fldChar w:fldCharType="begin"/>
          </w:r>
          <w:r>
            <w:rPr>
              <w:rFonts w:ascii="仿宋" w:eastAsia="仿宋" w:hAnsi="仿宋"/>
              <w:sz w:val="32"/>
              <w:szCs w:val="32"/>
            </w:rPr>
            <w:instrText xml:space="preserve"> PAGEREF _Toc176942474 \h </w:instrText>
          </w:r>
          <w:r>
            <w:rPr>
              <w:rFonts w:ascii="仿宋" w:eastAsia="仿宋" w:hAnsi="仿宋"/>
              <w:sz w:val="32"/>
              <w:szCs w:val="32"/>
            </w:rPr>
            <w:fldChar w:fldCharType="separate"/>
          </w:r>
          <w:r>
            <w:rPr>
              <w:rFonts w:ascii="仿宋" w:eastAsia="仿宋" w:hAnsi="仿宋"/>
              <w:sz w:val="32"/>
              <w:szCs w:val="32"/>
            </w:rPr>
            <w:t>18</w:t>
          </w:r>
          <w:r>
            <w:rPr>
              <w:rFonts w:ascii="仿宋" w:eastAsia="仿宋" w:hAnsi="仿宋"/>
              <w:sz w:val="32"/>
              <w:szCs w:val="32"/>
            </w:rPr>
            <w:fldChar w:fldCharType="end"/>
          </w:r>
          <w:r>
            <w:fldChar w:fldCharType="end"/>
          </w:r>
        </w:p>
        <w:p>
          <w:pPr>
            <w:pStyle w:val="22"/>
            <w:tabs>
              <w:tab w:val="right" w:leader="dot" w:pos="8296"/>
            </w:tabs>
            <w:rPr>
              <w:rFonts w:cs="Arial"/>
              <w:szCs w:val="32"/>
            </w:rPr>
          </w:pPr>
          <w:r>
            <w:fldChar w:fldCharType="begin"/>
          </w:r>
          <w:r>
            <w:instrText>Hyperlink \l "_Toc176942475"</w:instrText>
          </w:r>
          <w:r>
            <w:fldChar w:fldCharType="separate"/>
          </w:r>
          <w:r>
            <w:rPr>
              <w:rFonts w:cs="黑体" w:hint="eastAsia"/>
              <w:b/>
              <w:bCs/>
              <w:kern w:val="44"/>
              <w:szCs w:val="32"/>
            </w:rPr>
            <w:t>第三部分</w:t>
          </w:r>
          <w:r>
            <w:rPr>
              <w:rFonts w:hint="eastAsia"/>
              <w:b/>
              <w:szCs w:val="32"/>
            </w:rPr>
            <w:t xml:space="preserve"> 名</w:t>
          </w:r>
          <w:r>
            <w:rPr>
              <w:rFonts w:hint="eastAsia"/>
              <w:b/>
              <w:bCs/>
              <w:kern w:val="44"/>
              <w:szCs w:val="32"/>
            </w:rPr>
            <w:t>词解释</w:t>
          </w:r>
          <w:r>
            <w:rPr>
              <w:szCs w:val="32"/>
            </w:rPr>
            <w:tab/>
          </w:r>
          <w:r>
            <w:rPr>
              <w:szCs w:val="32"/>
            </w:rPr>
            <w:fldChar w:fldCharType="begin"/>
          </w:r>
          <w:r>
            <w:rPr>
              <w:szCs w:val="32"/>
            </w:rPr>
            <w:instrText xml:space="preserve"> PAGEREF _Toc176942475 \h </w:instrText>
          </w:r>
          <w:r>
            <w:rPr>
              <w:szCs w:val="32"/>
            </w:rPr>
            <w:fldChar w:fldCharType="separate"/>
          </w:r>
          <w:r>
            <w:rPr>
              <w:szCs w:val="32"/>
            </w:rPr>
            <w:t>20</w:t>
          </w:r>
          <w:r>
            <w:rPr>
              <w:szCs w:val="32"/>
            </w:rPr>
            <w:fldChar w:fldCharType="end"/>
          </w:r>
          <w:r>
            <w:fldChar w:fldCharType="end"/>
          </w:r>
        </w:p>
        <w:p>
          <w:pPr>
            <w:pStyle w:val="22"/>
            <w:tabs>
              <w:tab w:val="right" w:leader="dot" w:pos="8296"/>
            </w:tabs>
            <w:rPr>
              <w:rFonts w:cs="Arial"/>
              <w:szCs w:val="32"/>
            </w:rPr>
          </w:pPr>
          <w:r>
            <w:fldChar w:fldCharType="begin"/>
          </w:r>
          <w:r>
            <w:instrText>Hyperlink \l "_Toc176942476"</w:instrText>
          </w:r>
          <w:r>
            <w:fldChar w:fldCharType="separate"/>
          </w:r>
          <w:r>
            <w:rPr>
              <w:rFonts w:hint="eastAsia"/>
              <w:b/>
              <w:szCs w:val="32"/>
            </w:rPr>
            <w:t>第</w:t>
          </w:r>
          <w:r>
            <w:rPr>
              <w:rFonts w:hint="eastAsia"/>
              <w:b/>
              <w:bCs/>
              <w:kern w:val="44"/>
              <w:szCs w:val="32"/>
            </w:rPr>
            <w:t>四部分</w:t>
          </w:r>
          <w:r>
            <w:rPr>
              <w:b/>
              <w:bCs/>
              <w:kern w:val="44"/>
              <w:szCs w:val="32"/>
            </w:rPr>
            <w:t xml:space="preserve"> </w:t>
          </w:r>
          <w:r>
            <w:rPr>
              <w:rFonts w:hint="eastAsia"/>
              <w:b/>
              <w:bCs/>
              <w:kern w:val="44"/>
              <w:szCs w:val="32"/>
            </w:rPr>
            <w:t>附件</w:t>
          </w:r>
          <w:r>
            <w:rPr>
              <w:szCs w:val="32"/>
            </w:rPr>
            <w:tab/>
          </w:r>
          <w:r>
            <w:rPr>
              <w:szCs w:val="32"/>
            </w:rPr>
            <w:fldChar w:fldCharType="begin"/>
          </w:r>
          <w:r>
            <w:rPr>
              <w:szCs w:val="32"/>
            </w:rPr>
            <w:instrText xml:space="preserve"> PAGEREF _Toc176942476 \h </w:instrText>
          </w:r>
          <w:r>
            <w:rPr>
              <w:szCs w:val="32"/>
            </w:rPr>
            <w:fldChar w:fldCharType="separate"/>
          </w:r>
          <w:r>
            <w:rPr>
              <w:szCs w:val="32"/>
            </w:rPr>
            <w:t>25</w:t>
          </w:r>
          <w:r>
            <w:rPr>
              <w:szCs w:val="32"/>
            </w:rPr>
            <w:fldChar w:fldCharType="end"/>
          </w:r>
          <w:r>
            <w:fldChar w:fldCharType="end"/>
          </w:r>
        </w:p>
        <w:p>
          <w:pPr>
            <w:pStyle w:val="22"/>
            <w:tabs>
              <w:tab w:val="right" w:leader="dot" w:pos="8296"/>
            </w:tabs>
            <w:rPr>
              <w:rFonts w:cs="Arial"/>
              <w:szCs w:val="32"/>
            </w:rPr>
          </w:pPr>
          <w:r>
            <w:fldChar w:fldCharType="begin"/>
          </w:r>
          <w:r>
            <w:instrText>Hyperlink \l "_Toc176942477"</w:instrText>
          </w:r>
          <w:r>
            <w:fldChar w:fldCharType="separate"/>
          </w:r>
          <w:r>
            <w:rPr>
              <w:rFonts w:hint="eastAsia"/>
              <w:b/>
              <w:szCs w:val="32"/>
            </w:rPr>
            <w:t>第</w:t>
          </w:r>
          <w:r>
            <w:rPr>
              <w:rFonts w:hint="eastAsia"/>
              <w:b/>
              <w:bCs/>
              <w:kern w:val="44"/>
              <w:szCs w:val="32"/>
            </w:rPr>
            <w:t>五部分</w:t>
          </w:r>
          <w:r>
            <w:rPr>
              <w:b/>
              <w:bCs/>
              <w:kern w:val="44"/>
              <w:szCs w:val="32"/>
            </w:rPr>
            <w:t xml:space="preserve"> </w:t>
          </w:r>
          <w:r>
            <w:rPr>
              <w:rFonts w:hint="eastAsia"/>
              <w:b/>
              <w:bCs/>
              <w:kern w:val="44"/>
              <w:szCs w:val="32"/>
            </w:rPr>
            <w:t>附表</w:t>
          </w:r>
          <w:r>
            <w:rPr>
              <w:szCs w:val="32"/>
            </w:rPr>
            <w:tab/>
          </w:r>
          <w:r>
            <w:rPr>
              <w:szCs w:val="32"/>
            </w:rPr>
            <w:fldChar w:fldCharType="begin"/>
          </w:r>
          <w:r>
            <w:rPr>
              <w:szCs w:val="32"/>
            </w:rPr>
            <w:instrText xml:space="preserve"> PAGEREF _Toc176942477 \h </w:instrText>
          </w:r>
          <w:r>
            <w:rPr>
              <w:szCs w:val="32"/>
            </w:rPr>
            <w:fldChar w:fldCharType="separate"/>
          </w:r>
          <w:r>
            <w:rPr>
              <w:szCs w:val="32"/>
            </w:rPr>
            <w:t>36</w:t>
          </w:r>
          <w:r>
            <w:rPr>
              <w:szCs w:val="32"/>
            </w:rPr>
            <w:fldChar w:fldCharType="end"/>
          </w:r>
          <w:r>
            <w:fldChar w:fldCharType="end"/>
          </w:r>
        </w:p>
        <w:p>
          <w:pPr>
            <w:pStyle w:val="23"/>
            <w:tabs>
              <w:tab w:val="right" w:leader="dot" w:pos="8296"/>
            </w:tabs>
            <w:rPr>
              <w:rFonts w:ascii="仿宋" w:eastAsia="仿宋" w:cs="Arial" w:hAnsi="仿宋"/>
              <w:sz w:val="32"/>
              <w:szCs w:val="32"/>
            </w:rPr>
          </w:pPr>
          <w:r>
            <w:fldChar w:fldCharType="begin"/>
          </w:r>
          <w:r>
            <w:instrText>Hyperlink \l "_Toc176942478"</w:instrText>
          </w:r>
          <w:r>
            <w:fldChar w:fldCharType="separate"/>
          </w:r>
          <w:r>
            <w:rPr>
              <w:rFonts w:ascii="仿宋" w:eastAsia="仿宋" w:hAnsi="仿宋" w:hint="eastAsia"/>
              <w:sz w:val="32"/>
              <w:szCs w:val="32"/>
            </w:rPr>
            <w:t>一、收入支出决算总表</w:t>
          </w:r>
          <w:r>
            <w:rPr>
              <w:rFonts w:ascii="仿宋" w:eastAsia="仿宋" w:hAnsi="仿宋"/>
              <w:sz w:val="32"/>
              <w:szCs w:val="32"/>
            </w:rPr>
            <w:tab/>
          </w:r>
          <w:r>
            <w:rPr>
              <w:rFonts w:ascii="仿宋" w:eastAsia="仿宋" w:hAnsi="仿宋"/>
              <w:sz w:val="32"/>
              <w:szCs w:val="32"/>
            </w:rPr>
            <w:fldChar w:fldCharType="begin"/>
          </w:r>
          <w:r>
            <w:rPr>
              <w:rFonts w:ascii="仿宋" w:eastAsia="仿宋" w:hAnsi="仿宋"/>
              <w:sz w:val="32"/>
              <w:szCs w:val="32"/>
            </w:rPr>
            <w:instrText xml:space="preserve"> PAGEREF _Toc176942478 \h </w:instrText>
          </w:r>
          <w:r>
            <w:rPr>
              <w:rFonts w:ascii="仿宋" w:eastAsia="仿宋" w:hAnsi="仿宋"/>
              <w:sz w:val="32"/>
              <w:szCs w:val="32"/>
            </w:rPr>
            <w:fldChar w:fldCharType="separate"/>
          </w:r>
          <w:r>
            <w:rPr>
              <w:rFonts w:ascii="仿宋" w:eastAsia="仿宋" w:hAnsi="仿宋"/>
              <w:sz w:val="32"/>
              <w:szCs w:val="32"/>
            </w:rPr>
            <w:t>36</w:t>
          </w:r>
          <w:r>
            <w:rPr>
              <w:rFonts w:ascii="仿宋" w:eastAsia="仿宋" w:hAnsi="仿宋"/>
              <w:sz w:val="32"/>
              <w:szCs w:val="32"/>
            </w:rPr>
            <w:fldChar w:fldCharType="end"/>
          </w:r>
          <w:r>
            <w:fldChar w:fldCharType="end"/>
          </w:r>
        </w:p>
        <w:p>
          <w:pPr>
            <w:pStyle w:val="23"/>
            <w:tabs>
              <w:tab w:val="right" w:leader="dot" w:pos="8296"/>
            </w:tabs>
            <w:rPr>
              <w:rFonts w:ascii="仿宋" w:eastAsia="仿宋" w:cs="Arial" w:hAnsi="仿宋"/>
              <w:sz w:val="32"/>
              <w:szCs w:val="32"/>
            </w:rPr>
          </w:pPr>
          <w:r>
            <w:fldChar w:fldCharType="begin"/>
          </w:r>
          <w:r>
            <w:instrText>Hyperlink \l "_Toc176942479"</w:instrText>
          </w:r>
          <w:r>
            <w:fldChar w:fldCharType="separate"/>
          </w:r>
          <w:r>
            <w:rPr>
              <w:rFonts w:ascii="仿宋" w:eastAsia="仿宋" w:hAnsi="仿宋" w:hint="eastAsia"/>
              <w:sz w:val="32"/>
              <w:szCs w:val="32"/>
            </w:rPr>
            <w:t>二、收入决算表</w:t>
          </w:r>
          <w:r>
            <w:rPr>
              <w:rFonts w:ascii="仿宋" w:eastAsia="仿宋" w:hAnsi="仿宋"/>
              <w:sz w:val="32"/>
              <w:szCs w:val="32"/>
            </w:rPr>
            <w:tab/>
          </w:r>
          <w:r>
            <w:rPr>
              <w:rFonts w:ascii="仿宋" w:eastAsia="仿宋" w:hAnsi="仿宋"/>
              <w:sz w:val="32"/>
              <w:szCs w:val="32"/>
            </w:rPr>
            <w:fldChar w:fldCharType="begin"/>
          </w:r>
          <w:r>
            <w:rPr>
              <w:rFonts w:ascii="仿宋" w:eastAsia="仿宋" w:hAnsi="仿宋"/>
              <w:sz w:val="32"/>
              <w:szCs w:val="32"/>
            </w:rPr>
            <w:instrText xml:space="preserve"> PAGEREF _Toc176942479 \h </w:instrText>
          </w:r>
          <w:r>
            <w:rPr>
              <w:rFonts w:ascii="仿宋" w:eastAsia="仿宋" w:hAnsi="仿宋"/>
              <w:sz w:val="32"/>
              <w:szCs w:val="32"/>
            </w:rPr>
            <w:fldChar w:fldCharType="separate"/>
          </w:r>
          <w:r>
            <w:rPr>
              <w:rFonts w:ascii="仿宋" w:eastAsia="仿宋" w:hAnsi="仿宋"/>
              <w:sz w:val="32"/>
              <w:szCs w:val="32"/>
            </w:rPr>
            <w:t>36</w:t>
          </w:r>
          <w:r>
            <w:rPr>
              <w:rFonts w:ascii="仿宋" w:eastAsia="仿宋" w:hAnsi="仿宋"/>
              <w:sz w:val="32"/>
              <w:szCs w:val="32"/>
            </w:rPr>
            <w:fldChar w:fldCharType="end"/>
          </w:r>
          <w:r>
            <w:fldChar w:fldCharType="end"/>
          </w:r>
        </w:p>
        <w:p>
          <w:pPr>
            <w:pStyle w:val="23"/>
            <w:tabs>
              <w:tab w:val="right" w:leader="dot" w:pos="8296"/>
            </w:tabs>
            <w:rPr>
              <w:rFonts w:ascii="仿宋" w:eastAsia="仿宋" w:cs="Arial" w:hAnsi="仿宋"/>
              <w:sz w:val="32"/>
              <w:szCs w:val="32"/>
            </w:rPr>
          </w:pPr>
          <w:r>
            <w:fldChar w:fldCharType="begin"/>
          </w:r>
          <w:r>
            <w:instrText>Hyperlink \l "_Toc176942480"</w:instrText>
          </w:r>
          <w:r>
            <w:fldChar w:fldCharType="separate"/>
          </w:r>
          <w:r>
            <w:rPr>
              <w:rFonts w:ascii="仿宋" w:eastAsia="仿宋" w:hAnsi="仿宋" w:hint="eastAsia"/>
              <w:sz w:val="32"/>
              <w:szCs w:val="32"/>
            </w:rPr>
            <w:t>三、支出决算表</w:t>
          </w:r>
          <w:r>
            <w:rPr>
              <w:rFonts w:ascii="仿宋" w:eastAsia="仿宋" w:hAnsi="仿宋"/>
              <w:sz w:val="32"/>
              <w:szCs w:val="32"/>
            </w:rPr>
            <w:tab/>
          </w:r>
          <w:r>
            <w:rPr>
              <w:rFonts w:ascii="仿宋" w:eastAsia="仿宋" w:hAnsi="仿宋"/>
              <w:sz w:val="32"/>
              <w:szCs w:val="32"/>
            </w:rPr>
            <w:fldChar w:fldCharType="begin"/>
          </w:r>
          <w:r>
            <w:rPr>
              <w:rFonts w:ascii="仿宋" w:eastAsia="仿宋" w:hAnsi="仿宋"/>
              <w:sz w:val="32"/>
              <w:szCs w:val="32"/>
            </w:rPr>
            <w:instrText xml:space="preserve"> PAGEREF _Toc176942480 \h </w:instrText>
          </w:r>
          <w:r>
            <w:rPr>
              <w:rFonts w:ascii="仿宋" w:eastAsia="仿宋" w:hAnsi="仿宋"/>
              <w:sz w:val="32"/>
              <w:szCs w:val="32"/>
            </w:rPr>
            <w:fldChar w:fldCharType="separate"/>
          </w:r>
          <w:r>
            <w:rPr>
              <w:rFonts w:ascii="仿宋" w:eastAsia="仿宋" w:hAnsi="仿宋"/>
              <w:sz w:val="32"/>
              <w:szCs w:val="32"/>
            </w:rPr>
            <w:t>36</w:t>
          </w:r>
          <w:r>
            <w:rPr>
              <w:rFonts w:ascii="仿宋" w:eastAsia="仿宋" w:hAnsi="仿宋"/>
              <w:sz w:val="32"/>
              <w:szCs w:val="32"/>
            </w:rPr>
            <w:fldChar w:fldCharType="end"/>
          </w:r>
          <w:r>
            <w:fldChar w:fldCharType="end"/>
          </w:r>
        </w:p>
        <w:p>
          <w:pPr>
            <w:pStyle w:val="23"/>
            <w:tabs>
              <w:tab w:val="right" w:leader="dot" w:pos="8296"/>
            </w:tabs>
            <w:rPr>
              <w:rFonts w:ascii="仿宋" w:eastAsia="仿宋" w:cs="Arial" w:hAnsi="仿宋"/>
              <w:sz w:val="32"/>
              <w:szCs w:val="32"/>
            </w:rPr>
          </w:pPr>
          <w:r>
            <w:fldChar w:fldCharType="begin"/>
          </w:r>
          <w:r>
            <w:instrText>Hyperlink \l "_Toc176942481"</w:instrText>
          </w:r>
          <w:r>
            <w:fldChar w:fldCharType="separate"/>
          </w:r>
          <w:r>
            <w:rPr>
              <w:rFonts w:ascii="仿宋" w:eastAsia="仿宋" w:hAnsi="仿宋" w:hint="eastAsia"/>
              <w:sz w:val="32"/>
              <w:szCs w:val="32"/>
            </w:rPr>
            <w:t>四、财政拨款收入支出决算总表</w:t>
          </w:r>
          <w:r>
            <w:rPr>
              <w:rFonts w:ascii="仿宋" w:eastAsia="仿宋" w:hAnsi="仿宋"/>
              <w:sz w:val="32"/>
              <w:szCs w:val="32"/>
            </w:rPr>
            <w:tab/>
          </w:r>
          <w:r>
            <w:rPr>
              <w:rFonts w:ascii="仿宋" w:eastAsia="仿宋" w:hAnsi="仿宋"/>
              <w:sz w:val="32"/>
              <w:szCs w:val="32"/>
            </w:rPr>
            <w:fldChar w:fldCharType="begin"/>
          </w:r>
          <w:r>
            <w:rPr>
              <w:rFonts w:ascii="仿宋" w:eastAsia="仿宋" w:hAnsi="仿宋"/>
              <w:sz w:val="32"/>
              <w:szCs w:val="32"/>
            </w:rPr>
            <w:instrText xml:space="preserve"> PAGEREF _Toc176942481 \h </w:instrText>
          </w:r>
          <w:r>
            <w:rPr>
              <w:rFonts w:ascii="仿宋" w:eastAsia="仿宋" w:hAnsi="仿宋"/>
              <w:sz w:val="32"/>
              <w:szCs w:val="32"/>
            </w:rPr>
            <w:fldChar w:fldCharType="separate"/>
          </w:r>
          <w:r>
            <w:rPr>
              <w:rFonts w:ascii="仿宋" w:eastAsia="仿宋" w:hAnsi="仿宋"/>
              <w:sz w:val="32"/>
              <w:szCs w:val="32"/>
            </w:rPr>
            <w:t>36</w:t>
          </w:r>
          <w:r>
            <w:rPr>
              <w:rFonts w:ascii="仿宋" w:eastAsia="仿宋" w:hAnsi="仿宋"/>
              <w:sz w:val="32"/>
              <w:szCs w:val="32"/>
            </w:rPr>
            <w:fldChar w:fldCharType="end"/>
          </w:r>
          <w:r>
            <w:fldChar w:fldCharType="end"/>
          </w:r>
        </w:p>
        <w:p>
          <w:pPr>
            <w:pStyle w:val="23"/>
            <w:tabs>
              <w:tab w:val="right" w:leader="dot" w:pos="8296"/>
            </w:tabs>
            <w:rPr>
              <w:rFonts w:ascii="仿宋" w:eastAsia="仿宋" w:cs="Arial" w:hAnsi="仿宋"/>
              <w:sz w:val="32"/>
              <w:szCs w:val="32"/>
            </w:rPr>
          </w:pPr>
          <w:r>
            <w:fldChar w:fldCharType="begin"/>
          </w:r>
          <w:r>
            <w:instrText>Hyperlink \l "_Toc176942482"</w:instrText>
          </w:r>
          <w:r>
            <w:fldChar w:fldCharType="separate"/>
          </w:r>
          <w:r>
            <w:rPr>
              <w:rFonts w:ascii="仿宋" w:eastAsia="仿宋" w:hAnsi="仿宋" w:hint="eastAsia"/>
              <w:sz w:val="32"/>
              <w:szCs w:val="32"/>
            </w:rPr>
            <w:t>五、财政拨款支出决算明细表</w:t>
          </w:r>
          <w:r>
            <w:rPr>
              <w:rFonts w:ascii="仿宋" w:eastAsia="仿宋" w:hAnsi="仿宋"/>
              <w:sz w:val="32"/>
              <w:szCs w:val="32"/>
            </w:rPr>
            <w:tab/>
          </w:r>
          <w:r>
            <w:rPr>
              <w:rFonts w:ascii="仿宋" w:eastAsia="仿宋" w:hAnsi="仿宋"/>
              <w:sz w:val="32"/>
              <w:szCs w:val="32"/>
            </w:rPr>
            <w:fldChar w:fldCharType="begin"/>
          </w:r>
          <w:r>
            <w:rPr>
              <w:rFonts w:ascii="仿宋" w:eastAsia="仿宋" w:hAnsi="仿宋"/>
              <w:sz w:val="32"/>
              <w:szCs w:val="32"/>
            </w:rPr>
            <w:instrText xml:space="preserve"> PAGEREF _Toc176942482 \h </w:instrText>
          </w:r>
          <w:r>
            <w:rPr>
              <w:rFonts w:ascii="仿宋" w:eastAsia="仿宋" w:hAnsi="仿宋"/>
              <w:sz w:val="32"/>
              <w:szCs w:val="32"/>
            </w:rPr>
            <w:fldChar w:fldCharType="separate"/>
          </w:r>
          <w:r>
            <w:rPr>
              <w:rFonts w:ascii="仿宋" w:eastAsia="仿宋" w:hAnsi="仿宋"/>
              <w:sz w:val="32"/>
              <w:szCs w:val="32"/>
            </w:rPr>
            <w:t>36</w:t>
          </w:r>
          <w:r>
            <w:rPr>
              <w:rFonts w:ascii="仿宋" w:eastAsia="仿宋" w:hAnsi="仿宋"/>
              <w:sz w:val="32"/>
              <w:szCs w:val="32"/>
            </w:rPr>
            <w:fldChar w:fldCharType="end"/>
          </w:r>
          <w:r>
            <w:fldChar w:fldCharType="end"/>
          </w:r>
        </w:p>
        <w:p>
          <w:pPr>
            <w:pStyle w:val="23"/>
            <w:tabs>
              <w:tab w:val="right" w:leader="dot" w:pos="8296"/>
            </w:tabs>
            <w:rPr>
              <w:rFonts w:ascii="仿宋" w:eastAsia="仿宋" w:cs="Arial" w:hAnsi="仿宋"/>
              <w:sz w:val="32"/>
              <w:szCs w:val="32"/>
            </w:rPr>
          </w:pPr>
          <w:r>
            <w:fldChar w:fldCharType="begin"/>
          </w:r>
          <w:r>
            <w:instrText>Hyperlink \l "_Toc176942483"</w:instrText>
          </w:r>
          <w:r>
            <w:fldChar w:fldCharType="separate"/>
          </w:r>
          <w:r>
            <w:rPr>
              <w:rFonts w:ascii="仿宋" w:eastAsia="仿宋" w:hAnsi="仿宋" w:hint="eastAsia"/>
              <w:sz w:val="32"/>
              <w:szCs w:val="32"/>
            </w:rPr>
            <w:t>六、一般公共预算财政拨款支出决算表</w:t>
          </w:r>
          <w:r>
            <w:rPr>
              <w:rFonts w:ascii="仿宋" w:eastAsia="仿宋" w:hAnsi="仿宋"/>
              <w:sz w:val="32"/>
              <w:szCs w:val="32"/>
            </w:rPr>
            <w:tab/>
          </w:r>
          <w:r>
            <w:rPr>
              <w:rFonts w:ascii="仿宋" w:eastAsia="仿宋" w:hAnsi="仿宋"/>
              <w:sz w:val="32"/>
              <w:szCs w:val="32"/>
            </w:rPr>
            <w:fldChar w:fldCharType="begin"/>
          </w:r>
          <w:r>
            <w:rPr>
              <w:rFonts w:ascii="仿宋" w:eastAsia="仿宋" w:hAnsi="仿宋"/>
              <w:sz w:val="32"/>
              <w:szCs w:val="32"/>
            </w:rPr>
            <w:instrText xml:space="preserve"> PAGEREF _Toc176942483 \h </w:instrText>
          </w:r>
          <w:r>
            <w:rPr>
              <w:rFonts w:ascii="仿宋" w:eastAsia="仿宋" w:hAnsi="仿宋"/>
              <w:sz w:val="32"/>
              <w:szCs w:val="32"/>
            </w:rPr>
            <w:fldChar w:fldCharType="separate"/>
          </w:r>
          <w:r>
            <w:rPr>
              <w:rFonts w:ascii="仿宋" w:eastAsia="仿宋" w:hAnsi="仿宋"/>
              <w:sz w:val="32"/>
              <w:szCs w:val="32"/>
            </w:rPr>
            <w:t>36</w:t>
          </w:r>
          <w:r>
            <w:rPr>
              <w:rFonts w:ascii="仿宋" w:eastAsia="仿宋" w:hAnsi="仿宋"/>
              <w:sz w:val="32"/>
              <w:szCs w:val="32"/>
            </w:rPr>
            <w:fldChar w:fldCharType="end"/>
          </w:r>
          <w:r>
            <w:fldChar w:fldCharType="end"/>
          </w:r>
        </w:p>
        <w:p>
          <w:pPr>
            <w:pStyle w:val="23"/>
            <w:tabs>
              <w:tab w:val="right" w:leader="dot" w:pos="8296"/>
            </w:tabs>
            <w:rPr>
              <w:rFonts w:ascii="仿宋" w:eastAsia="仿宋" w:cs="Arial" w:hAnsi="仿宋"/>
              <w:sz w:val="32"/>
              <w:szCs w:val="32"/>
            </w:rPr>
          </w:pPr>
          <w:r>
            <w:fldChar w:fldCharType="begin"/>
          </w:r>
          <w:r>
            <w:instrText>Hyperlink \l "_Toc176942484"</w:instrText>
          </w:r>
          <w:r>
            <w:fldChar w:fldCharType="separate"/>
          </w:r>
          <w:r>
            <w:rPr>
              <w:rFonts w:ascii="仿宋" w:eastAsia="仿宋" w:hAnsi="仿宋" w:hint="eastAsia"/>
              <w:sz w:val="32"/>
              <w:szCs w:val="32"/>
            </w:rPr>
            <w:t>七、一般公共预算财政拨款支出决算明细表</w:t>
          </w:r>
          <w:r>
            <w:rPr>
              <w:rFonts w:ascii="仿宋" w:eastAsia="仿宋" w:hAnsi="仿宋"/>
              <w:sz w:val="32"/>
              <w:szCs w:val="32"/>
            </w:rPr>
            <w:tab/>
          </w:r>
          <w:r>
            <w:rPr>
              <w:rFonts w:ascii="仿宋" w:eastAsia="仿宋" w:hAnsi="仿宋"/>
              <w:sz w:val="32"/>
              <w:szCs w:val="32"/>
            </w:rPr>
            <w:fldChar w:fldCharType="begin"/>
          </w:r>
          <w:r>
            <w:rPr>
              <w:rFonts w:ascii="仿宋" w:eastAsia="仿宋" w:hAnsi="仿宋"/>
              <w:sz w:val="32"/>
              <w:szCs w:val="32"/>
            </w:rPr>
            <w:instrText xml:space="preserve"> PAGEREF _Toc176942484 \h </w:instrText>
          </w:r>
          <w:r>
            <w:rPr>
              <w:rFonts w:ascii="仿宋" w:eastAsia="仿宋" w:hAnsi="仿宋"/>
              <w:sz w:val="32"/>
              <w:szCs w:val="32"/>
            </w:rPr>
            <w:fldChar w:fldCharType="separate"/>
          </w:r>
          <w:r>
            <w:rPr>
              <w:rFonts w:ascii="仿宋" w:eastAsia="仿宋" w:hAnsi="仿宋"/>
              <w:sz w:val="32"/>
              <w:szCs w:val="32"/>
            </w:rPr>
            <w:t>36</w:t>
          </w:r>
          <w:r>
            <w:rPr>
              <w:rFonts w:ascii="仿宋" w:eastAsia="仿宋" w:hAnsi="仿宋"/>
              <w:sz w:val="32"/>
              <w:szCs w:val="32"/>
            </w:rPr>
            <w:fldChar w:fldCharType="end"/>
          </w:r>
          <w:r>
            <w:fldChar w:fldCharType="end"/>
          </w:r>
        </w:p>
        <w:p>
          <w:pPr>
            <w:pStyle w:val="23"/>
            <w:tabs>
              <w:tab w:val="right" w:leader="dot" w:pos="8296"/>
            </w:tabs>
            <w:rPr>
              <w:rFonts w:ascii="仿宋" w:eastAsia="仿宋" w:cs="Arial" w:hAnsi="仿宋"/>
              <w:sz w:val="32"/>
              <w:szCs w:val="32"/>
            </w:rPr>
          </w:pPr>
          <w:r>
            <w:fldChar w:fldCharType="begin"/>
          </w:r>
          <w:r>
            <w:instrText>Hyperlink \l "_Toc176942485"</w:instrText>
          </w:r>
          <w:r>
            <w:fldChar w:fldCharType="separate"/>
          </w:r>
          <w:r>
            <w:rPr>
              <w:rFonts w:ascii="仿宋" w:eastAsia="仿宋" w:hAnsi="仿宋" w:hint="eastAsia"/>
              <w:sz w:val="32"/>
              <w:szCs w:val="32"/>
            </w:rPr>
            <w:t>八、一般公共预算财政拨款基本支出决算表</w:t>
          </w:r>
          <w:r>
            <w:rPr>
              <w:rFonts w:ascii="仿宋" w:eastAsia="仿宋" w:hAnsi="仿宋"/>
              <w:sz w:val="32"/>
              <w:szCs w:val="32"/>
            </w:rPr>
            <w:tab/>
          </w:r>
          <w:r>
            <w:rPr>
              <w:rFonts w:ascii="仿宋" w:eastAsia="仿宋" w:hAnsi="仿宋"/>
              <w:sz w:val="32"/>
              <w:szCs w:val="32"/>
            </w:rPr>
            <w:fldChar w:fldCharType="begin"/>
          </w:r>
          <w:r>
            <w:rPr>
              <w:rFonts w:ascii="仿宋" w:eastAsia="仿宋" w:hAnsi="仿宋"/>
              <w:sz w:val="32"/>
              <w:szCs w:val="32"/>
            </w:rPr>
            <w:instrText xml:space="preserve"> PAGEREF _Toc176942485 \h </w:instrText>
          </w:r>
          <w:r>
            <w:rPr>
              <w:rFonts w:ascii="仿宋" w:eastAsia="仿宋" w:hAnsi="仿宋"/>
              <w:sz w:val="32"/>
              <w:szCs w:val="32"/>
            </w:rPr>
            <w:fldChar w:fldCharType="separate"/>
          </w:r>
          <w:r>
            <w:rPr>
              <w:rFonts w:ascii="仿宋" w:eastAsia="仿宋" w:hAnsi="仿宋"/>
              <w:sz w:val="32"/>
              <w:szCs w:val="32"/>
            </w:rPr>
            <w:t>36</w:t>
          </w:r>
          <w:r>
            <w:rPr>
              <w:rFonts w:ascii="仿宋" w:eastAsia="仿宋" w:hAnsi="仿宋"/>
              <w:sz w:val="32"/>
              <w:szCs w:val="32"/>
            </w:rPr>
            <w:fldChar w:fldCharType="end"/>
          </w:r>
          <w:r>
            <w:fldChar w:fldCharType="end"/>
          </w:r>
        </w:p>
        <w:p>
          <w:pPr>
            <w:pStyle w:val="23"/>
            <w:tabs>
              <w:tab w:val="right" w:leader="dot" w:pos="8296"/>
            </w:tabs>
            <w:rPr>
              <w:rFonts w:ascii="仿宋" w:eastAsia="仿宋" w:cs="Arial" w:hAnsi="仿宋"/>
              <w:sz w:val="32"/>
              <w:szCs w:val="32"/>
            </w:rPr>
          </w:pPr>
          <w:r>
            <w:fldChar w:fldCharType="begin"/>
          </w:r>
          <w:r>
            <w:instrText>Hyperlink \l "_Toc176942486"</w:instrText>
          </w:r>
          <w:r>
            <w:fldChar w:fldCharType="separate"/>
          </w:r>
          <w:r>
            <w:rPr>
              <w:rFonts w:ascii="仿宋" w:eastAsia="仿宋" w:hAnsi="仿宋" w:hint="eastAsia"/>
              <w:sz w:val="32"/>
              <w:szCs w:val="32"/>
            </w:rPr>
            <w:t>九、一般公共预算财政拨款项目支出决算表</w:t>
          </w:r>
          <w:r>
            <w:rPr>
              <w:rFonts w:ascii="仿宋" w:eastAsia="仿宋" w:hAnsi="仿宋"/>
              <w:sz w:val="32"/>
              <w:szCs w:val="32"/>
            </w:rPr>
            <w:tab/>
          </w:r>
          <w:r>
            <w:rPr>
              <w:rFonts w:ascii="仿宋" w:eastAsia="仿宋" w:hAnsi="仿宋"/>
              <w:sz w:val="32"/>
              <w:szCs w:val="32"/>
            </w:rPr>
            <w:fldChar w:fldCharType="begin"/>
          </w:r>
          <w:r>
            <w:rPr>
              <w:rFonts w:ascii="仿宋" w:eastAsia="仿宋" w:hAnsi="仿宋"/>
              <w:sz w:val="32"/>
              <w:szCs w:val="32"/>
            </w:rPr>
            <w:instrText xml:space="preserve"> PAGEREF _Toc176942486 \h </w:instrText>
          </w:r>
          <w:r>
            <w:rPr>
              <w:rFonts w:ascii="仿宋" w:eastAsia="仿宋" w:hAnsi="仿宋"/>
              <w:sz w:val="32"/>
              <w:szCs w:val="32"/>
            </w:rPr>
            <w:fldChar w:fldCharType="separate"/>
          </w:r>
          <w:r>
            <w:rPr>
              <w:rFonts w:ascii="仿宋" w:eastAsia="仿宋" w:hAnsi="仿宋"/>
              <w:sz w:val="32"/>
              <w:szCs w:val="32"/>
            </w:rPr>
            <w:t>36</w:t>
          </w:r>
          <w:r>
            <w:rPr>
              <w:rFonts w:ascii="仿宋" w:eastAsia="仿宋" w:hAnsi="仿宋"/>
              <w:sz w:val="32"/>
              <w:szCs w:val="32"/>
            </w:rPr>
            <w:fldChar w:fldCharType="end"/>
          </w:r>
          <w:r>
            <w:fldChar w:fldCharType="end"/>
          </w:r>
        </w:p>
        <w:p>
          <w:pPr>
            <w:pStyle w:val="23"/>
            <w:tabs>
              <w:tab w:val="right" w:leader="dot" w:pos="8296"/>
            </w:tabs>
            <w:rPr>
              <w:rFonts w:ascii="仿宋" w:eastAsia="仿宋" w:cs="Arial" w:hAnsi="仿宋"/>
              <w:sz w:val="32"/>
              <w:szCs w:val="32"/>
            </w:rPr>
          </w:pPr>
          <w:r>
            <w:fldChar w:fldCharType="begin"/>
          </w:r>
          <w:r>
            <w:instrText>Hyperlink \l "_Toc176942487"</w:instrText>
          </w:r>
          <w:r>
            <w:fldChar w:fldCharType="separate"/>
          </w:r>
          <w:r>
            <w:rPr>
              <w:rFonts w:ascii="仿宋" w:eastAsia="仿宋" w:hAnsi="仿宋" w:hint="eastAsia"/>
              <w:sz w:val="32"/>
              <w:szCs w:val="32"/>
            </w:rPr>
            <w:t>十、政府性基金预算财政拨款收入支出决算表</w:t>
          </w:r>
          <w:r>
            <w:rPr>
              <w:rFonts w:ascii="仿宋" w:eastAsia="仿宋" w:hAnsi="仿宋"/>
              <w:sz w:val="32"/>
              <w:szCs w:val="32"/>
            </w:rPr>
            <w:tab/>
          </w:r>
          <w:r>
            <w:rPr>
              <w:rFonts w:ascii="仿宋" w:eastAsia="仿宋" w:hAnsi="仿宋"/>
              <w:sz w:val="32"/>
              <w:szCs w:val="32"/>
            </w:rPr>
            <w:fldChar w:fldCharType="begin"/>
          </w:r>
          <w:r>
            <w:rPr>
              <w:rFonts w:ascii="仿宋" w:eastAsia="仿宋" w:hAnsi="仿宋"/>
              <w:sz w:val="32"/>
              <w:szCs w:val="32"/>
            </w:rPr>
            <w:instrText xml:space="preserve"> PAGEREF _Toc176942487 \h </w:instrText>
          </w:r>
          <w:r>
            <w:rPr>
              <w:rFonts w:ascii="仿宋" w:eastAsia="仿宋" w:hAnsi="仿宋"/>
              <w:sz w:val="32"/>
              <w:szCs w:val="32"/>
            </w:rPr>
            <w:fldChar w:fldCharType="separate"/>
          </w:r>
          <w:r>
            <w:rPr>
              <w:rFonts w:ascii="仿宋" w:eastAsia="仿宋" w:hAnsi="仿宋"/>
              <w:sz w:val="32"/>
              <w:szCs w:val="32"/>
            </w:rPr>
            <w:t>36</w:t>
          </w:r>
          <w:r>
            <w:rPr>
              <w:rFonts w:ascii="仿宋" w:eastAsia="仿宋" w:hAnsi="仿宋"/>
              <w:sz w:val="32"/>
              <w:szCs w:val="32"/>
            </w:rPr>
            <w:fldChar w:fldCharType="end"/>
          </w:r>
          <w:r>
            <w:fldChar w:fldCharType="end"/>
          </w:r>
        </w:p>
        <w:p>
          <w:pPr>
            <w:pStyle w:val="23"/>
            <w:tabs>
              <w:tab w:val="right" w:leader="dot" w:pos="8296"/>
            </w:tabs>
            <w:rPr>
              <w:rFonts w:ascii="仿宋" w:eastAsia="仿宋" w:cs="Arial" w:hAnsi="仿宋"/>
              <w:sz w:val="32"/>
              <w:szCs w:val="32"/>
            </w:rPr>
          </w:pPr>
          <w:r>
            <w:fldChar w:fldCharType="begin"/>
          </w:r>
          <w:r>
            <w:instrText>Hyperlink \l "_Toc176942488"</w:instrText>
          </w:r>
          <w:r>
            <w:fldChar w:fldCharType="separate"/>
          </w:r>
          <w:r>
            <w:rPr>
              <w:rFonts w:ascii="仿宋" w:eastAsia="仿宋" w:hAnsi="仿宋" w:hint="eastAsia"/>
              <w:sz w:val="32"/>
              <w:szCs w:val="32"/>
            </w:rPr>
            <w:t>十一、国有资本经营预算财政拨款收入支出决算表</w:t>
          </w:r>
          <w:r>
            <w:rPr>
              <w:rFonts w:ascii="仿宋" w:eastAsia="仿宋" w:hAnsi="仿宋"/>
              <w:sz w:val="32"/>
              <w:szCs w:val="32"/>
            </w:rPr>
            <w:tab/>
          </w:r>
          <w:r>
            <w:rPr>
              <w:rFonts w:ascii="仿宋" w:eastAsia="仿宋" w:hAnsi="仿宋"/>
              <w:sz w:val="32"/>
              <w:szCs w:val="32"/>
            </w:rPr>
            <w:fldChar w:fldCharType="begin"/>
          </w:r>
          <w:r>
            <w:rPr>
              <w:rFonts w:ascii="仿宋" w:eastAsia="仿宋" w:hAnsi="仿宋"/>
              <w:sz w:val="32"/>
              <w:szCs w:val="32"/>
            </w:rPr>
            <w:instrText xml:space="preserve"> PAGEREF _Toc176942488 \h </w:instrText>
          </w:r>
          <w:r>
            <w:rPr>
              <w:rFonts w:ascii="仿宋" w:eastAsia="仿宋" w:hAnsi="仿宋"/>
              <w:sz w:val="32"/>
              <w:szCs w:val="32"/>
            </w:rPr>
            <w:fldChar w:fldCharType="separate"/>
          </w:r>
          <w:r>
            <w:rPr>
              <w:rFonts w:ascii="仿宋" w:eastAsia="仿宋" w:hAnsi="仿宋"/>
              <w:sz w:val="32"/>
              <w:szCs w:val="32"/>
            </w:rPr>
            <w:t>36</w:t>
          </w:r>
          <w:r>
            <w:rPr>
              <w:rFonts w:ascii="仿宋" w:eastAsia="仿宋" w:hAnsi="仿宋"/>
              <w:sz w:val="32"/>
              <w:szCs w:val="32"/>
            </w:rPr>
            <w:fldChar w:fldCharType="end"/>
          </w:r>
          <w:r>
            <w:fldChar w:fldCharType="end"/>
          </w:r>
        </w:p>
        <w:p>
          <w:pPr>
            <w:pStyle w:val="23"/>
            <w:tabs>
              <w:tab w:val="right" w:leader="dot" w:pos="8296"/>
            </w:tabs>
            <w:rPr>
              <w:rFonts w:ascii="仿宋" w:eastAsia="仿宋" w:cs="Arial" w:hAnsi="仿宋"/>
              <w:sz w:val="32"/>
              <w:szCs w:val="32"/>
            </w:rPr>
          </w:pPr>
          <w:r>
            <w:fldChar w:fldCharType="begin"/>
          </w:r>
          <w:r>
            <w:instrText>Hyperlink \l "_Toc176942489"</w:instrText>
          </w:r>
          <w:r>
            <w:fldChar w:fldCharType="separate"/>
          </w:r>
          <w:r>
            <w:rPr>
              <w:rFonts w:ascii="仿宋" w:eastAsia="仿宋" w:hAnsi="仿宋" w:hint="eastAsia"/>
              <w:sz w:val="32"/>
              <w:szCs w:val="32"/>
            </w:rPr>
            <w:t>十二、国有资本经营预算财政拨款支出决算表</w:t>
          </w:r>
          <w:r>
            <w:rPr>
              <w:rFonts w:ascii="仿宋" w:eastAsia="仿宋" w:hAnsi="仿宋"/>
              <w:sz w:val="32"/>
              <w:szCs w:val="32"/>
            </w:rPr>
            <w:tab/>
          </w:r>
          <w:r>
            <w:rPr>
              <w:rFonts w:ascii="仿宋" w:eastAsia="仿宋" w:hAnsi="仿宋"/>
              <w:sz w:val="32"/>
              <w:szCs w:val="32"/>
            </w:rPr>
            <w:fldChar w:fldCharType="begin"/>
          </w:r>
          <w:r>
            <w:rPr>
              <w:rFonts w:ascii="仿宋" w:eastAsia="仿宋" w:hAnsi="仿宋"/>
              <w:sz w:val="32"/>
              <w:szCs w:val="32"/>
            </w:rPr>
            <w:instrText xml:space="preserve"> PAGEREF _Toc176942489 \h </w:instrText>
          </w:r>
          <w:r>
            <w:rPr>
              <w:rFonts w:ascii="仿宋" w:eastAsia="仿宋" w:hAnsi="仿宋"/>
              <w:sz w:val="32"/>
              <w:szCs w:val="32"/>
            </w:rPr>
            <w:fldChar w:fldCharType="separate"/>
          </w:r>
          <w:r>
            <w:rPr>
              <w:rFonts w:ascii="仿宋" w:eastAsia="仿宋" w:hAnsi="仿宋"/>
              <w:sz w:val="32"/>
              <w:szCs w:val="32"/>
            </w:rPr>
            <w:t>36</w:t>
          </w:r>
          <w:r>
            <w:rPr>
              <w:rFonts w:ascii="仿宋" w:eastAsia="仿宋" w:hAnsi="仿宋"/>
              <w:sz w:val="32"/>
              <w:szCs w:val="32"/>
            </w:rPr>
            <w:fldChar w:fldCharType="end"/>
          </w:r>
          <w:r>
            <w:fldChar w:fldCharType="end"/>
          </w:r>
        </w:p>
        <w:p>
          <w:pPr>
            <w:pStyle w:val="23"/>
            <w:tabs>
              <w:tab w:val="right" w:leader="dot" w:pos="8296"/>
            </w:tabs>
            <w:rPr>
              <w:rFonts w:ascii="仿宋" w:eastAsia="仿宋" w:cs="Arial" w:hAnsi="仿宋"/>
              <w:sz w:val="32"/>
              <w:szCs w:val="32"/>
            </w:rPr>
          </w:pPr>
          <w:r>
            <w:fldChar w:fldCharType="begin"/>
          </w:r>
          <w:r>
            <w:instrText>Hyperlink \l "_Toc176942490"</w:instrText>
          </w:r>
          <w:r>
            <w:fldChar w:fldCharType="separate"/>
          </w:r>
          <w:r>
            <w:rPr>
              <w:rFonts w:ascii="仿宋" w:eastAsia="仿宋" w:hAnsi="仿宋" w:hint="eastAsia"/>
              <w:sz w:val="32"/>
              <w:szCs w:val="32"/>
            </w:rPr>
            <w:t>十三、财政拨款“三公”经费支出决算表</w:t>
          </w:r>
          <w:r>
            <w:rPr>
              <w:rFonts w:ascii="仿宋" w:eastAsia="仿宋" w:hAnsi="仿宋"/>
              <w:sz w:val="32"/>
              <w:szCs w:val="32"/>
            </w:rPr>
            <w:tab/>
          </w:r>
          <w:r>
            <w:rPr>
              <w:rFonts w:ascii="仿宋" w:eastAsia="仿宋" w:hAnsi="仿宋"/>
              <w:sz w:val="32"/>
              <w:szCs w:val="32"/>
            </w:rPr>
            <w:fldChar w:fldCharType="begin"/>
          </w:r>
          <w:r>
            <w:rPr>
              <w:rFonts w:ascii="仿宋" w:eastAsia="仿宋" w:hAnsi="仿宋"/>
              <w:sz w:val="32"/>
              <w:szCs w:val="32"/>
            </w:rPr>
            <w:instrText xml:space="preserve"> PAGEREF _Toc176942490 \h </w:instrText>
          </w:r>
          <w:r>
            <w:rPr>
              <w:rFonts w:ascii="仿宋" w:eastAsia="仿宋" w:hAnsi="仿宋"/>
              <w:sz w:val="32"/>
              <w:szCs w:val="32"/>
            </w:rPr>
            <w:fldChar w:fldCharType="separate"/>
          </w:r>
          <w:r>
            <w:rPr>
              <w:rFonts w:ascii="仿宋" w:eastAsia="仿宋" w:hAnsi="仿宋"/>
              <w:sz w:val="32"/>
              <w:szCs w:val="32"/>
            </w:rPr>
            <w:t>36</w:t>
          </w:r>
          <w:r>
            <w:rPr>
              <w:rFonts w:ascii="仿宋" w:eastAsia="仿宋" w:hAnsi="仿宋"/>
              <w:sz w:val="32"/>
              <w:szCs w:val="32"/>
            </w:rPr>
            <w:fldChar w:fldCharType="end"/>
          </w:r>
          <w:r>
            <w:fldChar w:fldCharType="end"/>
          </w:r>
        </w:p>
        <w:p>
          <w:r>
            <w:fldChar w:fldCharType="end"/>
          </w:r>
        </w:p>
      </w:sdtContent>
    </w:sdt>
    <w:p>
      <w:pPr>
        <w:widowControl/>
        <w:jc w:val="left"/>
        <w:rPr>
          <w:rFonts w:ascii="黑体" w:eastAsia="黑体" w:hAnsi="黑体"/>
          <w:bCs/>
          <w:kern w:val="44"/>
          <w:sz w:val="44"/>
          <w:szCs w:val="44"/>
        </w:rPr>
      </w:pPr>
      <w:bookmarkStart w:id="19" w:name="_Toc176942308"/>
      <w:bookmarkStart w:id="20" w:name="_Toc176942449"/>
      <w:r>
        <w:rPr>
          <w:rFonts w:ascii="黑体" w:eastAsia="黑体" w:hAnsi="黑体"/>
          <w:b/>
        </w:rPr>
        <w:br w:type="page"/>
      </w:r>
    </w:p>
    <w:p>
      <w:pPr>
        <w:pStyle w:val="1"/>
        <w:spacing w:line="240" w:lineRule="auto"/>
        <w:jc w:val="center"/>
        <w:rPr>
          <w:rStyle w:val="1Char"/>
          <w:rFonts w:ascii="黑体" w:eastAsia="黑体" w:hAnsi="黑体"/>
          <w:b/>
        </w:rPr>
      </w:pPr>
      <w:r>
        <w:rPr>
          <w:rFonts w:ascii="黑体" w:eastAsia="黑体" w:hAnsi="黑体" w:hint="eastAsia"/>
          <w:b w:val="0"/>
        </w:rPr>
        <w:t>第一部分 单位</w:t>
      </w:r>
      <w:r>
        <w:rPr>
          <w:rStyle w:val="1Char"/>
          <w:rFonts w:ascii="黑体" w:eastAsia="黑体" w:hAnsi="黑体" w:hint="eastAsia"/>
        </w:rPr>
        <w:t>概况</w:t>
      </w:r>
      <w:bookmarkEnd w:id="17"/>
      <w:bookmarkEnd w:id="18"/>
      <w:bookmarkEnd w:id="19"/>
      <w:bookmarkEnd w:id="20"/>
    </w:p>
    <w:p>
      <w:pPr>
        <w:widowControl/>
        <w:jc w:val="left"/>
        <w:rPr>
          <w:rFonts w:ascii="黑体" w:eastAsia="黑体"/>
          <w:sz w:val="32"/>
          <w:szCs w:val="32"/>
        </w:rPr>
      </w:pPr>
    </w:p>
    <w:p>
      <w:pPr>
        <w:ind w:firstLineChars="200" w:firstLine="640"/>
        <w:rPr>
          <w:rStyle w:val="2Char"/>
          <w:rFonts w:ascii="黑体" w:eastAsia="黑体" w:hAnsi="黑体"/>
        </w:rPr>
      </w:pPr>
      <w:bookmarkStart w:id="21" w:name="_Toc176942309"/>
      <w:bookmarkStart w:id="22" w:name="_Toc176942450"/>
      <w:bookmarkStart w:id="23" w:name="_Toc15396600"/>
      <w:bookmarkStart w:id="24" w:name="_Toc15377197"/>
      <w:r>
        <w:rPr>
          <w:rStyle w:val="2Char"/>
          <w:rFonts w:ascii="黑体" w:eastAsia="黑体" w:hAnsi="黑体" w:hint="eastAsia"/>
        </w:rPr>
        <w:t>一、主要职责</w:t>
      </w:r>
      <w:bookmarkEnd w:id="21"/>
      <w:bookmarkEnd w:id="22"/>
    </w:p>
    <w:p>
      <w:pPr>
        <w:pStyle w:val="34"/>
        <w:spacing w:before="255" w:beforeAutospacing="0" w:after="255" w:afterAutospacing="0"/>
        <w:ind w:firstLineChars="200" w:firstLine="640"/>
        <w:rPr>
          <w:rFonts w:ascii="仿宋" w:eastAsia="仿宋" w:hAnsi="仿宋"/>
          <w:sz w:val="32"/>
          <w:szCs w:val="32"/>
        </w:rPr>
      </w:pPr>
      <w:r>
        <w:rPr>
          <w:rFonts w:ascii="仿宋" w:eastAsia="仿宋" w:hAnsi="仿宋" w:hint="eastAsia"/>
          <w:sz w:val="32"/>
          <w:szCs w:val="32"/>
        </w:rPr>
        <w:t>攀枝花市商务局是市政府工作职能部门，具体负责贯彻执行国家、省有关内外贸易、外商投资、对外经济合作的法律法规和方针政策，拟订并组织实施全市商务发展规划、计划和相关政策措施；承担指导和协调全市服务业发展的职责。推进流通产业结构调整，指导流通企业改革，加快商贸服务业、社区商业和第三方物流发展，推动流通标准化和连锁经营、商业特许经营、物流配送、电子商务等现代流通方式的发展；研究提出引导国内外资金投向市场体系建设的政策，编制大宗产品批发市场规划，指导城市商业网点规划和商业体系建设工作，推进农村市场体系建设，组织实施农村现代流通网络工程，促进城乡市场一体化发展；承担牵头协调全市整顿和规范市场经济秩序工作的责任，拟订规范市场运行和流通秩序的政策，推动商务领域信用建设，指导商业信用销售，建立市场诚信公共服务平台，按有关规定对特殊流通行业进行监督管理；负责重要消费品市场调控和重要生产资料流通监管，建立健全生活必需品市场供应应急管理机制，监测分析市场运行、商品供求状况，调查分析商品价格信息，进行预测预警和信息引导。按分工负责重要消费品储备管理和市场调控工作；拟订促进转变外贸增长方式的政策措施，指导对外贸易行业执行国家进出口商品、加工贸易管理办法和进出口管理商品、技术目录，组织实施重要工业品、原材料和重要农产品进出口总量计划，会同有关部门协调大宗进出口商品和出口加工区的业务工作，指导贸易促进活动和外贸促进体系建设；依法监督全市技术引进、设备进口、国家限制出口技术的工作，牵头负责发展服务贸易的相关工作，推动服务外包平台建设；承担组织协调反倾销、反补贴、保障措施和技术性贸易壁垒等与进出口公平贸易相关工作的责任，建立进出口公平贸易预警机制，牵头开展对外贸易调查、产业损害调查，指导协调产业安全应对和国外对我市出口商品的反倾销、反补贴、保障措施的应诉工作；参与拟订外商投资政策措施和改革方案并组织实施；指导协调市内国家级经开区和国（境）别产业园区工作；负责全市国际合作园区建设推进工作，指导国际合作园区的对外开放交流工作职责；负责全市对外经济合作工作，依法管理和监督境外承包工程、对外劳务合作和出境就业等，按规定承担境外投资管理的责任，牵头负责外派劳务和境外就业人员的权益保护工作，组织管理我市承担的国家对外援助任务，管理多双边对我市的无偿援助及赠款（不合财政合作项目下外国政府及国际金融组织对我市赠款）等发展合作业务；管理我市赴境外举办的各种商品交易会和经贸推介活动，指导和监督管理以攀枝花市名义在境内举办的各种交易会、展览会、展销会等活动；规划全市商务系统电子政务、公共商务信息服务体系建设并组织实施，推动电子商务发展。</w:t>
      </w:r>
    </w:p>
    <w:p>
      <w:pPr>
        <w:pStyle w:val="2"/>
        <w:spacing w:line="240" w:lineRule="auto"/>
        <w:ind w:firstLineChars="200" w:firstLine="640"/>
        <w:rPr>
          <w:rFonts w:ascii="黑体" w:eastAsia="黑体" w:hAnsi="黑体"/>
          <w:b w:val="0"/>
        </w:rPr>
      </w:pPr>
      <w:bookmarkStart w:id="25" w:name="_Toc176942310"/>
      <w:bookmarkStart w:id="26" w:name="_Toc176942451"/>
      <w:r>
        <w:rPr>
          <w:rFonts w:ascii="黑体" w:eastAsia="黑体" w:hAnsi="黑体" w:hint="eastAsia"/>
          <w:b w:val="0"/>
        </w:rPr>
        <w:t>二、机构设置</w:t>
      </w:r>
      <w:bookmarkEnd w:id="25"/>
      <w:bookmarkEnd w:id="26"/>
    </w:p>
    <w:p>
      <w:pPr>
        <w:ind w:firstLineChars="200" w:firstLine="640"/>
      </w:pPr>
      <w:r>
        <w:rPr>
          <w:rFonts w:ascii="仿宋" w:eastAsia="仿宋" w:hAnsi="仿宋" w:hint="eastAsia"/>
          <w:sz w:val="32"/>
          <w:szCs w:val="32"/>
        </w:rPr>
        <w:t>攀枝花市商务局年末独立编制机构</w:t>
      </w:r>
      <w:r>
        <w:rPr>
          <w:rFonts w:ascii="仿宋" w:eastAsia="仿宋" w:hAnsi="仿宋"/>
          <w:sz w:val="32"/>
          <w:szCs w:val="32"/>
        </w:rPr>
        <w:t>3</w:t>
      </w:r>
      <w:r>
        <w:rPr>
          <w:rFonts w:ascii="仿宋" w:eastAsia="仿宋" w:hAnsi="仿宋" w:hint="eastAsia"/>
          <w:sz w:val="32"/>
          <w:szCs w:val="32"/>
        </w:rPr>
        <w:t>个（攀枝花市商务局、中国国际贸易促进委员会攀枝花市委员会、攀枝花市商贸流通服务中心），独立核算机构</w:t>
      </w:r>
      <w:r>
        <w:rPr>
          <w:rFonts w:ascii="仿宋" w:eastAsia="仿宋" w:hAnsi="仿宋"/>
          <w:sz w:val="32"/>
          <w:szCs w:val="32"/>
        </w:rPr>
        <w:t>1</w:t>
      </w:r>
      <w:r>
        <w:rPr>
          <w:rFonts w:ascii="仿宋" w:eastAsia="仿宋" w:hAnsi="仿宋" w:hint="eastAsia"/>
          <w:sz w:val="32"/>
          <w:szCs w:val="32"/>
        </w:rPr>
        <w:t>个，执行政府单位会计制度。</w:t>
      </w:r>
    </w:p>
    <w:p>
      <w:pPr>
        <w:widowControl/>
        <w:jc w:val="left"/>
        <w:rPr>
          <w:rFonts w:ascii="仿宋" w:eastAsia="仿宋" w:hAnsi="仿宋"/>
          <w:kern w:val="0"/>
          <w:sz w:val="32"/>
          <w:szCs w:val="32"/>
        </w:rPr>
      </w:pPr>
      <w:bookmarkEnd w:id="23"/>
      <w:bookmarkEnd w:id="24"/>
      <w:r>
        <w:rPr>
          <w:rFonts w:ascii="仿宋" w:eastAsia="仿宋" w:hAnsi="仿宋"/>
          <w:sz w:val="32"/>
          <w:szCs w:val="32"/>
        </w:rPr>
        <w:br w:type="page"/>
      </w:r>
    </w:p>
    <w:p>
      <w:pPr>
        <w:pStyle w:val="1"/>
        <w:spacing w:line="240" w:lineRule="auto"/>
        <w:ind w:right="440"/>
        <w:jc w:val="center"/>
        <w:rPr>
          <w:rStyle w:val="1Char"/>
          <w:rFonts w:ascii="黑体" w:eastAsia="黑体" w:hAnsi="黑体"/>
          <w:bCs/>
        </w:rPr>
      </w:pPr>
      <w:bookmarkStart w:id="27" w:name="_Toc15396602"/>
      <w:bookmarkStart w:id="28" w:name="_Toc15377204"/>
      <w:bookmarkStart w:id="29" w:name="_Toc176942311"/>
      <w:bookmarkStart w:id="30" w:name="_Toc176942452"/>
      <w:r>
        <w:rPr>
          <w:rFonts w:ascii="黑体" w:eastAsia="黑体" w:hAnsi="黑体" w:hint="eastAsia"/>
          <w:b w:val="0"/>
        </w:rPr>
        <w:t>第二部分 2023年度</w:t>
      </w:r>
      <w:r>
        <w:rPr>
          <w:rStyle w:val="1Char"/>
          <w:rFonts w:ascii="黑体" w:eastAsia="黑体" w:hAnsi="黑体" w:hint="eastAsia"/>
          <w:bCs/>
        </w:rPr>
        <w:t>单位决算情况说明</w:t>
      </w:r>
      <w:bookmarkEnd w:id="27"/>
      <w:bookmarkEnd w:id="28"/>
      <w:bookmarkEnd w:id="29"/>
      <w:bookmarkEnd w:id="30"/>
    </w:p>
    <w:p/>
    <w:p>
      <w:pPr>
        <w:pStyle w:val="31"/>
        <w:numPr>
          <w:ilvl w:val="0"/>
          <w:numId w:val="1"/>
        </w:numPr>
        <w:ind w:firstLineChars="0"/>
        <w:outlineLvl w:val="1"/>
        <w:rPr>
          <w:rStyle w:val="2Char"/>
          <w:rFonts w:ascii="黑体" w:eastAsia="黑体" w:hAnsi="黑体"/>
          <w:b w:val="0"/>
        </w:rPr>
      </w:pPr>
      <w:bookmarkStart w:id="31" w:name="_Toc15377205"/>
      <w:bookmarkStart w:id="32" w:name="_Toc15396603"/>
      <w:bookmarkStart w:id="33" w:name="_Toc176942312"/>
      <w:bookmarkStart w:id="34" w:name="_Toc176942453"/>
      <w:r>
        <w:rPr>
          <w:rFonts w:ascii="黑体" w:eastAsia="黑体" w:hAnsi="黑体" w:hint="eastAsia"/>
          <w:sz w:val="32"/>
          <w:szCs w:val="32"/>
        </w:rPr>
        <w:t>收</w:t>
      </w:r>
      <w:r>
        <w:rPr>
          <w:rStyle w:val="2Char"/>
          <w:rFonts w:ascii="黑体" w:eastAsia="黑体" w:hAnsi="黑体" w:hint="eastAsia"/>
          <w:b w:val="0"/>
        </w:rPr>
        <w:t>入支出决算总体情况说明</w:t>
      </w:r>
      <w:bookmarkEnd w:id="31"/>
      <w:bookmarkEnd w:id="32"/>
      <w:bookmarkEnd w:id="33"/>
      <w:bookmarkEnd w:id="34"/>
    </w:p>
    <w:p>
      <w:pPr>
        <w:ind w:firstLineChars="200" w:firstLine="640"/>
        <w:rPr>
          <w:rFonts w:ascii="仿宋" w:eastAsia="仿宋" w:hAnsi="仿宋"/>
          <w:sz w:val="32"/>
          <w:szCs w:val="32"/>
        </w:rPr>
      </w:pPr>
      <w:r>
        <w:rPr>
          <w:rFonts w:ascii="仿宋" w:eastAsia="仿宋" w:hAnsi="仿宋" w:hint="eastAsia"/>
          <w:sz w:val="32"/>
          <w:szCs w:val="32"/>
        </w:rPr>
        <w:t>2023年度收、支总计均为</w:t>
      </w:r>
      <w:r>
        <w:rPr>
          <w:rFonts w:ascii="仿宋" w:eastAsia="仿宋" w:hAnsi="仿宋" w:hint="eastAsia"/>
          <w:b/>
          <w:sz w:val="32"/>
          <w:szCs w:val="32"/>
        </w:rPr>
        <w:t>2620.42</w:t>
      </w:r>
      <w:r>
        <w:rPr>
          <w:rFonts w:ascii="仿宋" w:eastAsia="仿宋" w:hAnsi="仿宋" w:hint="eastAsia"/>
          <w:sz w:val="32"/>
          <w:szCs w:val="32"/>
        </w:rPr>
        <w:t>万元。与2022年度相比，收、支总计各增加558.81万元，增长27.11</w:t>
      </w:r>
      <w:r>
        <w:rPr>
          <w:rFonts w:ascii="仿宋" w:eastAsia="仿宋" w:hAnsi="仿宋"/>
          <w:sz w:val="32"/>
          <w:szCs w:val="32"/>
        </w:rPr>
        <w:t>%</w:t>
      </w:r>
      <w:r>
        <w:rPr>
          <w:rFonts w:ascii="仿宋" w:eastAsia="仿宋" w:hAnsi="仿宋" w:hint="eastAsia"/>
          <w:sz w:val="32"/>
          <w:szCs w:val="32"/>
        </w:rPr>
        <w:t>。主要变动原因是基本支出增加142.93万元，项目支出增加415.88万元。</w:t>
      </w:r>
    </w:p>
    <w:p>
      <w:pPr>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pPr>
        <w:ind w:firstLineChars="200" w:firstLine="640"/>
        <w:jc w:val="left"/>
        <w:rPr>
          <w:rFonts w:ascii="仿宋_GB2312" w:eastAsia="仿宋_GB2312"/>
          <w:sz w:val="32"/>
          <w:szCs w:val="32"/>
        </w:rPr>
      </w:pPr>
      <w:r>
        <w:rPr>
          <w:rFonts w:ascii="仿宋_GB2312" w:eastAsia="仿宋_GB2312"/>
          <w:sz w:val="32"/>
          <w:szCs w:val="32"/>
        </w:rPr>
        <w:drawing>
          <wp:inline distT="0" distB="0" distL="0" distR="0">
            <wp:extent cx="5274310" cy="3076575"/>
            <wp:effectExtent l="19050" t="0" r="21590" b="0"/>
            <wp:docPr id="1" name="图表 2"/>
            <wp:cNvGraphicFramePr>
              <a:graphicFrameLocks noChangeAspect="0"/>
            </wp:cNvGraphicFramePr>
            <a:graphic>
              <a:graphicData uri="http://schemas.openxmlformats.org/drawingml/2006/chart">
                <c:chart xmlns:c="http://schemas.openxmlformats.org/drawingml/2006/chart" r:id="rId4"/>
              </a:graphicData>
            </a:graphic>
          </wp:inline>
        </w:drawing>
      </w:r>
    </w:p>
    <w:p>
      <w:pPr>
        <w:pStyle w:val="31"/>
        <w:numPr>
          <w:ilvl w:val="0"/>
          <w:numId w:val="1"/>
        </w:numPr>
        <w:ind w:firstLineChars="0"/>
        <w:outlineLvl w:val="1"/>
        <w:rPr>
          <w:rStyle w:val="2Char"/>
          <w:rFonts w:ascii="黑体" w:eastAsia="黑体" w:hAnsi="黑体"/>
          <w:b w:val="0"/>
        </w:rPr>
      </w:pPr>
      <w:bookmarkStart w:id="35" w:name="_Toc15396604"/>
      <w:bookmarkStart w:id="36" w:name="_Toc15377206"/>
      <w:bookmarkStart w:id="37" w:name="_Toc176942313"/>
      <w:bookmarkStart w:id="38" w:name="_Toc176942454"/>
      <w:r>
        <w:rPr>
          <w:rFonts w:ascii="黑体" w:eastAsia="黑体" w:hAnsi="黑体" w:hint="eastAsia"/>
          <w:sz w:val="32"/>
          <w:szCs w:val="32"/>
        </w:rPr>
        <w:t>收</w:t>
      </w:r>
      <w:r>
        <w:rPr>
          <w:rStyle w:val="2Char"/>
          <w:rFonts w:ascii="黑体" w:eastAsia="黑体" w:hAnsi="黑体" w:hint="eastAsia"/>
          <w:b w:val="0"/>
        </w:rPr>
        <w:t>入决算情况说明</w:t>
      </w:r>
      <w:bookmarkEnd w:id="35"/>
      <w:bookmarkEnd w:id="36"/>
      <w:bookmarkEnd w:id="37"/>
      <w:bookmarkEnd w:id="38"/>
    </w:p>
    <w:p>
      <w:pPr>
        <w:ind w:firstLineChars="200" w:firstLine="640"/>
        <w:outlineLvl w:val="1"/>
        <w:rPr>
          <w:rFonts w:ascii="仿宋" w:eastAsia="仿宋" w:hAnsi="仿宋"/>
          <w:b/>
          <w:sz w:val="32"/>
          <w:szCs w:val="32"/>
        </w:rPr>
      </w:pPr>
      <w:bookmarkStart w:id="39" w:name="_Toc176942314"/>
      <w:bookmarkStart w:id="40" w:name="_Toc176942455"/>
      <w:r>
        <w:rPr>
          <w:rFonts w:ascii="仿宋" w:eastAsia="仿宋" w:hAnsi="仿宋" w:hint="eastAsia"/>
          <w:sz w:val="32"/>
          <w:szCs w:val="32"/>
        </w:rPr>
        <w:t>2023年度本年收入合计</w:t>
      </w:r>
      <w:r>
        <w:rPr>
          <w:rFonts w:ascii="仿宋" w:eastAsia="仿宋" w:hAnsi="仿宋"/>
          <w:b/>
          <w:sz w:val="32"/>
          <w:szCs w:val="32"/>
        </w:rPr>
        <w:t>2620.42</w:t>
      </w:r>
      <w:r>
        <w:rPr>
          <w:rFonts w:ascii="仿宋" w:eastAsia="仿宋" w:hAnsi="仿宋" w:hint="eastAsia"/>
          <w:sz w:val="32"/>
          <w:szCs w:val="32"/>
        </w:rPr>
        <w:t>万元，其中：一般公共预算财政拨款收入</w:t>
      </w:r>
      <w:r>
        <w:rPr>
          <w:rFonts w:ascii="仿宋" w:eastAsia="仿宋" w:hAnsi="仿宋"/>
          <w:b/>
          <w:sz w:val="32"/>
          <w:szCs w:val="32"/>
        </w:rPr>
        <w:t>2620.42</w:t>
      </w:r>
      <w:r>
        <w:rPr>
          <w:rFonts w:ascii="仿宋" w:eastAsia="仿宋" w:hAnsi="仿宋" w:hint="eastAsia"/>
          <w:sz w:val="32"/>
          <w:szCs w:val="32"/>
        </w:rPr>
        <w:t>万元，占</w:t>
      </w:r>
      <w:r>
        <w:rPr>
          <w:rFonts w:ascii="仿宋" w:eastAsia="仿宋" w:hAnsi="仿宋"/>
          <w:b/>
          <w:sz w:val="32"/>
          <w:szCs w:val="32"/>
        </w:rPr>
        <w:t>100%</w:t>
      </w:r>
      <w:r>
        <w:rPr>
          <w:rFonts w:ascii="仿宋" w:eastAsia="仿宋" w:hAnsi="仿宋" w:hint="eastAsia"/>
          <w:sz w:val="32"/>
          <w:szCs w:val="32"/>
        </w:rPr>
        <w:t>。</w:t>
      </w:r>
      <w:bookmarkEnd w:id="39"/>
      <w:bookmarkEnd w:id="40"/>
    </w:p>
    <w:p>
      <w:pPr>
        <w:ind w:firstLineChars="200" w:firstLine="640"/>
        <w:outlineLvl w:val="1"/>
        <w:rPr>
          <w:rFonts w:ascii="仿宋" w:eastAsia="仿宋" w:hAnsi="仿宋"/>
          <w:sz w:val="32"/>
          <w:szCs w:val="32"/>
        </w:rPr>
      </w:pPr>
    </w:p>
    <w:p>
      <w:pPr>
        <w:ind w:firstLineChars="200" w:firstLine="640"/>
        <w:rPr>
          <w:rFonts w:ascii="仿宋" w:eastAsia="仿宋" w:hAnsi="仿宋"/>
          <w:sz w:val="32"/>
          <w:szCs w:val="32"/>
        </w:rPr>
      </w:pPr>
      <w:r>
        <w:rPr>
          <w:rFonts w:ascii="仿宋" w:eastAsia="仿宋" w:hAnsi="仿宋" w:hint="eastAsia"/>
          <w:sz w:val="32"/>
          <w:szCs w:val="32"/>
        </w:rPr>
        <w:t>（图2：收入决算结构图）（饼状图）</w:t>
      </w:r>
    </w:p>
    <w:p>
      <w:pPr>
        <w:ind w:firstLineChars="200" w:firstLine="640"/>
        <w:rPr>
          <w:rFonts w:ascii="仿宋_GB2312" w:eastAsia="仿宋_GB2312"/>
          <w:sz w:val="32"/>
          <w:szCs w:val="32"/>
        </w:rPr>
      </w:pPr>
      <w:r>
        <w:rPr>
          <w:rFonts w:ascii="仿宋_GB2312" w:eastAsia="仿宋_GB2312"/>
          <w:sz w:val="32"/>
          <w:szCs w:val="32"/>
        </w:rPr>
        <w:drawing>
          <wp:inline distT="0" distB="0" distL="0" distR="0">
            <wp:extent cx="5274310" cy="3076575"/>
            <wp:effectExtent l="19050" t="0" r="21590" b="0"/>
            <wp:docPr id="2" name="图表 3"/>
            <wp:cNvGraphicFramePr>
              <a:graphicFrameLocks noChangeAspect="0"/>
            </wp:cNvGraphicFramePr>
            <a:graphic>
              <a:graphicData uri="http://schemas.openxmlformats.org/drawingml/2006/chart">
                <c:chart xmlns:c="http://schemas.openxmlformats.org/drawingml/2006/chart" r:id="rId5"/>
              </a:graphicData>
            </a:graphic>
          </wp:inline>
        </w:drawing>
      </w:r>
    </w:p>
    <w:p>
      <w:pPr>
        <w:pStyle w:val="31"/>
        <w:numPr>
          <w:ilvl w:val="0"/>
          <w:numId w:val="1"/>
        </w:numPr>
        <w:ind w:firstLineChars="0"/>
        <w:outlineLvl w:val="1"/>
        <w:rPr>
          <w:rStyle w:val="2Char"/>
          <w:rFonts w:ascii="黑体" w:eastAsia="黑体" w:hAnsi="黑体"/>
          <w:b w:val="0"/>
        </w:rPr>
      </w:pPr>
      <w:bookmarkStart w:id="41" w:name="_Toc15396605"/>
      <w:bookmarkStart w:id="42" w:name="_Toc15377207"/>
      <w:bookmarkStart w:id="43" w:name="_Toc176942315"/>
      <w:bookmarkStart w:id="44" w:name="_Toc176942456"/>
      <w:r>
        <w:rPr>
          <w:rFonts w:ascii="黑体" w:eastAsia="黑体" w:hAnsi="黑体" w:hint="eastAsia"/>
          <w:sz w:val="32"/>
          <w:szCs w:val="32"/>
        </w:rPr>
        <w:t>支</w:t>
      </w:r>
      <w:r>
        <w:rPr>
          <w:rStyle w:val="2Char"/>
          <w:rFonts w:ascii="黑体" w:eastAsia="黑体" w:hAnsi="黑体" w:hint="eastAsia"/>
          <w:b w:val="0"/>
        </w:rPr>
        <w:t>出决算情况说明</w:t>
      </w:r>
      <w:bookmarkEnd w:id="41"/>
      <w:bookmarkEnd w:id="42"/>
      <w:bookmarkEnd w:id="43"/>
      <w:bookmarkEnd w:id="44"/>
    </w:p>
    <w:p>
      <w:pPr>
        <w:ind w:firstLineChars="200" w:firstLine="640"/>
        <w:outlineLvl w:val="1"/>
        <w:rPr>
          <w:rFonts w:ascii="仿宋" w:eastAsia="仿宋" w:hAnsi="仿宋"/>
          <w:sz w:val="32"/>
          <w:szCs w:val="32"/>
        </w:rPr>
      </w:pPr>
      <w:bookmarkStart w:id="45" w:name="_Toc176942316"/>
      <w:bookmarkStart w:id="46" w:name="_Toc176942457"/>
      <w:r>
        <w:rPr>
          <w:rFonts w:ascii="仿宋" w:eastAsia="仿宋" w:hAnsi="仿宋" w:hint="eastAsia"/>
          <w:sz w:val="32"/>
          <w:szCs w:val="32"/>
        </w:rPr>
        <w:t>2023年度本年支出合计</w:t>
      </w:r>
      <w:r>
        <w:rPr>
          <w:rFonts w:ascii="仿宋" w:eastAsia="仿宋" w:hAnsi="仿宋"/>
          <w:b/>
          <w:sz w:val="32"/>
          <w:szCs w:val="32"/>
        </w:rPr>
        <w:t>2620.42</w:t>
      </w:r>
      <w:r>
        <w:rPr>
          <w:rFonts w:ascii="仿宋" w:eastAsia="仿宋" w:hAnsi="仿宋" w:hint="eastAsia"/>
          <w:sz w:val="32"/>
          <w:szCs w:val="32"/>
        </w:rPr>
        <w:t>万元，其中：基本支出</w:t>
      </w:r>
      <w:r>
        <w:rPr>
          <w:rFonts w:ascii="仿宋" w:eastAsia="仿宋" w:hAnsi="仿宋"/>
          <w:b/>
          <w:sz w:val="32"/>
          <w:szCs w:val="32"/>
        </w:rPr>
        <w:t>1773.64</w:t>
      </w:r>
      <w:r>
        <w:rPr>
          <w:rFonts w:ascii="仿宋" w:eastAsia="仿宋" w:hAnsi="仿宋" w:hint="eastAsia"/>
          <w:sz w:val="32"/>
          <w:szCs w:val="32"/>
        </w:rPr>
        <w:t>万元，占</w:t>
      </w:r>
      <w:r>
        <w:rPr>
          <w:rFonts w:ascii="仿宋" w:eastAsia="仿宋" w:hAnsi="仿宋"/>
          <w:b/>
          <w:sz w:val="32"/>
          <w:szCs w:val="32"/>
        </w:rPr>
        <w:t>67.68</w:t>
      </w:r>
      <w:r>
        <w:rPr>
          <w:rFonts w:ascii="仿宋" w:eastAsia="仿宋" w:hAnsi="仿宋"/>
          <w:sz w:val="32"/>
          <w:szCs w:val="32"/>
        </w:rPr>
        <w:t>%</w:t>
      </w:r>
      <w:r>
        <w:rPr>
          <w:rFonts w:ascii="仿宋" w:eastAsia="仿宋" w:hAnsi="仿宋" w:hint="eastAsia"/>
          <w:sz w:val="32"/>
          <w:szCs w:val="32"/>
        </w:rPr>
        <w:t>；项目支出</w:t>
      </w:r>
      <w:r>
        <w:rPr>
          <w:rFonts w:ascii="仿宋" w:eastAsia="仿宋" w:hAnsi="仿宋"/>
          <w:b/>
          <w:sz w:val="32"/>
          <w:szCs w:val="32"/>
        </w:rPr>
        <w:t>846.78</w:t>
      </w:r>
      <w:r>
        <w:rPr>
          <w:rFonts w:ascii="仿宋" w:eastAsia="仿宋" w:hAnsi="仿宋" w:hint="eastAsia"/>
          <w:sz w:val="32"/>
          <w:szCs w:val="32"/>
        </w:rPr>
        <w:t>万元，占</w:t>
      </w:r>
      <w:r>
        <w:rPr>
          <w:rFonts w:ascii="仿宋" w:eastAsia="仿宋" w:hAnsi="仿宋"/>
          <w:b/>
          <w:sz w:val="32"/>
          <w:szCs w:val="32"/>
        </w:rPr>
        <w:t>32.31</w:t>
      </w:r>
      <w:r>
        <w:rPr>
          <w:rFonts w:ascii="仿宋" w:eastAsia="仿宋" w:hAnsi="仿宋"/>
          <w:sz w:val="32"/>
          <w:szCs w:val="32"/>
        </w:rPr>
        <w:t>%</w:t>
      </w:r>
      <w:r>
        <w:rPr>
          <w:rFonts w:ascii="仿宋" w:eastAsia="仿宋" w:hAnsi="仿宋" w:hint="eastAsia"/>
          <w:sz w:val="32"/>
          <w:szCs w:val="32"/>
        </w:rPr>
        <w:t>。</w:t>
      </w:r>
      <w:bookmarkEnd w:id="45"/>
      <w:bookmarkEnd w:id="46"/>
    </w:p>
    <w:p>
      <w:pPr>
        <w:ind w:firstLineChars="200" w:firstLine="640"/>
        <w:rPr>
          <w:rFonts w:ascii="仿宋" w:eastAsia="仿宋" w:hAnsi="仿宋"/>
          <w:sz w:val="32"/>
          <w:szCs w:val="32"/>
        </w:rPr>
      </w:pPr>
      <w:r>
        <w:rPr>
          <w:rFonts w:ascii="仿宋" w:eastAsia="仿宋" w:hAnsi="仿宋" w:hint="eastAsia"/>
          <w:sz w:val="32"/>
          <w:szCs w:val="32"/>
        </w:rPr>
        <w:t>（图3：支出决算结构图）（饼状图）</w:t>
      </w:r>
    </w:p>
    <w:p>
      <w:pPr>
        <w:ind w:firstLineChars="200" w:firstLine="640"/>
        <w:rPr>
          <w:rFonts w:ascii="仿宋_GB2312" w:eastAsia="仿宋_GB2312"/>
          <w:sz w:val="32"/>
          <w:szCs w:val="32"/>
        </w:rPr>
      </w:pPr>
      <w:r>
        <w:rPr>
          <w:rFonts w:ascii="仿宋_GB2312" w:eastAsia="仿宋_GB2312"/>
          <w:sz w:val="32"/>
          <w:szCs w:val="32"/>
        </w:rPr>
        <w:drawing>
          <wp:inline distT="0" distB="0" distL="0" distR="0">
            <wp:extent cx="5274310" cy="3076575"/>
            <wp:effectExtent l="19050" t="0" r="21590" b="0"/>
            <wp:docPr id="3" name="图表 4"/>
            <wp:cNvGraphicFramePr>
              <a:graphicFrameLocks noChangeAspect="0"/>
            </wp:cNvGraphicFramePr>
            <a:graphic>
              <a:graphicData uri="http://schemas.openxmlformats.org/drawingml/2006/chart">
                <c:chart xmlns:c="http://schemas.openxmlformats.org/drawingml/2006/chart" r:id="rId6"/>
              </a:graphicData>
            </a:graphic>
          </wp:inline>
        </w:drawing>
      </w:r>
    </w:p>
    <w:p>
      <w:pPr>
        <w:ind w:firstLineChars="200" w:firstLine="640"/>
        <w:outlineLvl w:val="1"/>
        <w:rPr>
          <w:rStyle w:val="2Char"/>
          <w:rFonts w:ascii="黑体" w:eastAsia="黑体" w:hAnsi="黑体"/>
          <w:b w:val="0"/>
        </w:rPr>
      </w:pPr>
      <w:bookmarkStart w:id="47" w:name="_Toc15377208"/>
      <w:bookmarkStart w:id="48" w:name="_Toc15396606"/>
      <w:bookmarkStart w:id="49" w:name="_Toc176942317"/>
      <w:bookmarkStart w:id="50" w:name="_Toc176942458"/>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47"/>
      <w:bookmarkEnd w:id="48"/>
      <w:bookmarkEnd w:id="49"/>
      <w:bookmarkEnd w:id="50"/>
    </w:p>
    <w:p>
      <w:pPr>
        <w:ind w:firstLine="640"/>
        <w:rPr>
          <w:rFonts w:ascii="仿宋" w:eastAsia="仿宋" w:hAnsi="仿宋"/>
          <w:sz w:val="32"/>
          <w:szCs w:val="32"/>
        </w:rPr>
      </w:pPr>
      <w:r>
        <w:rPr>
          <w:rFonts w:ascii="仿宋" w:eastAsia="仿宋" w:hAnsi="仿宋" w:hint="eastAsia"/>
          <w:sz w:val="32"/>
          <w:szCs w:val="32"/>
        </w:rPr>
        <w:t>2023年度财政拨款收、支总计均为</w:t>
      </w:r>
      <w:r>
        <w:rPr>
          <w:rFonts w:ascii="仿宋" w:eastAsia="仿宋" w:hAnsi="仿宋"/>
          <w:b/>
          <w:sz w:val="32"/>
          <w:szCs w:val="32"/>
        </w:rPr>
        <w:t>2620.42</w:t>
      </w:r>
      <w:r>
        <w:rPr>
          <w:rFonts w:ascii="仿宋" w:eastAsia="仿宋" w:hAnsi="仿宋" w:hint="eastAsia"/>
          <w:sz w:val="32"/>
          <w:szCs w:val="32"/>
        </w:rPr>
        <w:t>万元。与2022年度相比，财政拨款收、支总计各增加558.81万元，增长27.11</w:t>
      </w:r>
      <w:r>
        <w:rPr>
          <w:rFonts w:ascii="仿宋" w:eastAsia="仿宋" w:hAnsi="仿宋"/>
          <w:sz w:val="32"/>
          <w:szCs w:val="32"/>
        </w:rPr>
        <w:t>%</w:t>
      </w:r>
      <w:r>
        <w:rPr>
          <w:rFonts w:ascii="仿宋" w:eastAsia="仿宋" w:hAnsi="仿宋" w:hint="eastAsia"/>
          <w:sz w:val="32"/>
          <w:szCs w:val="32"/>
        </w:rPr>
        <w:t>。主要变动原因是</w:t>
      </w:r>
      <w:r>
        <w:rPr>
          <w:rFonts w:ascii="仿宋" w:eastAsia="仿宋" w:cs="仿宋" w:hAnsi="仿宋" w:hint="eastAsia"/>
          <w:sz w:val="32"/>
          <w:szCs w:val="32"/>
        </w:rPr>
        <w:t>一般公共预算财政拨款收、支增加558.81万元。</w:t>
      </w:r>
    </w:p>
    <w:p>
      <w:pPr>
        <w:ind w:firstLineChars="200" w:firstLine="640"/>
        <w:rPr>
          <w:rFonts w:ascii="仿宋" w:eastAsia="仿宋" w:hAnsi="仿宋"/>
          <w:sz w:val="32"/>
          <w:szCs w:val="32"/>
        </w:rPr>
      </w:pPr>
      <w:r>
        <w:rPr>
          <w:rFonts w:ascii="仿宋" w:eastAsia="仿宋" w:hAnsi="仿宋" w:hint="eastAsia"/>
          <w:sz w:val="32"/>
          <w:szCs w:val="32"/>
        </w:rPr>
        <w:t>（图4：财政拨款收、支决算总计变动情况）（柱状图）</w:t>
      </w:r>
    </w:p>
    <w:p>
      <w:pPr>
        <w:ind w:firstLine="640"/>
        <w:rPr>
          <w:rFonts w:ascii="仿宋" w:eastAsia="仿宋" w:hAnsi="仿宋"/>
          <w:b/>
          <w:sz w:val="32"/>
          <w:szCs w:val="32"/>
        </w:rPr>
      </w:pPr>
      <w:r>
        <w:rPr>
          <w:rFonts w:ascii="仿宋" w:eastAsia="仿宋" w:hAnsi="仿宋"/>
          <w:b/>
          <w:sz w:val="32"/>
          <w:szCs w:val="32"/>
        </w:rPr>
        <w:drawing>
          <wp:inline distT="0" distB="0" distL="0" distR="0">
            <wp:extent cx="5274310" cy="3076575"/>
            <wp:effectExtent l="19050" t="0" r="21590" b="0"/>
            <wp:docPr id="4" name="图表 5"/>
            <wp:cNvGraphicFramePr>
              <a:graphicFrameLocks noChangeAspect="0"/>
            </wp:cNvGraphicFramePr>
            <a:graphic>
              <a:graphicData uri="http://schemas.openxmlformats.org/drawingml/2006/chart">
                <c:chart xmlns:c="http://schemas.openxmlformats.org/drawingml/2006/chart" r:id="rId7"/>
              </a:graphicData>
            </a:graphic>
          </wp:inline>
        </w:drawing>
      </w:r>
    </w:p>
    <w:p>
      <w:pPr>
        <w:ind w:firstLineChars="200" w:firstLine="640"/>
        <w:outlineLvl w:val="1"/>
        <w:rPr>
          <w:rStyle w:val="2Char"/>
          <w:rFonts w:ascii="黑体" w:eastAsia="黑体" w:hAnsi="黑体"/>
          <w:b w:val="0"/>
        </w:rPr>
      </w:pPr>
      <w:bookmarkStart w:id="51" w:name="_Toc15396607"/>
      <w:bookmarkStart w:id="52" w:name="_Toc15377209"/>
      <w:bookmarkStart w:id="53" w:name="_Toc176942318"/>
      <w:bookmarkStart w:id="54" w:name="_Toc176942459"/>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51"/>
      <w:bookmarkEnd w:id="52"/>
      <w:bookmarkEnd w:id="53"/>
      <w:bookmarkEnd w:id="54"/>
    </w:p>
    <w:p>
      <w:pPr>
        <w:ind w:firstLineChars="200" w:firstLine="640"/>
        <w:outlineLvl w:val="2"/>
        <w:rPr>
          <w:rFonts w:ascii="仿宋" w:eastAsia="仿宋" w:hAnsi="仿宋"/>
          <w:b/>
          <w:sz w:val="32"/>
          <w:szCs w:val="32"/>
        </w:rPr>
      </w:pPr>
      <w:bookmarkStart w:id="55" w:name="_Toc15377210"/>
      <w:bookmarkStart w:id="56" w:name="_Toc176942319"/>
      <w:bookmarkStart w:id="57" w:name="_Toc176942460"/>
      <w:r>
        <w:rPr>
          <w:rFonts w:ascii="仿宋" w:eastAsia="仿宋" w:hAnsi="仿宋" w:hint="eastAsia"/>
          <w:b/>
          <w:sz w:val="32"/>
          <w:szCs w:val="32"/>
        </w:rPr>
        <w:t>（一）一般公共预算财政拨款支出决算总体情况</w:t>
      </w:r>
      <w:bookmarkEnd w:id="55"/>
      <w:bookmarkEnd w:id="56"/>
      <w:bookmarkEnd w:id="57"/>
    </w:p>
    <w:p>
      <w:pPr>
        <w:ind w:firstLineChars="200" w:firstLine="640"/>
        <w:rPr>
          <w:rFonts w:ascii="仿宋" w:eastAsia="仿宋" w:hAnsi="仿宋"/>
          <w:sz w:val="32"/>
          <w:szCs w:val="32"/>
        </w:rPr>
      </w:pPr>
      <w:r>
        <w:rPr>
          <w:rFonts w:ascii="仿宋" w:eastAsia="仿宋" w:hAnsi="仿宋" w:hint="eastAsia"/>
          <w:sz w:val="32"/>
          <w:szCs w:val="32"/>
        </w:rPr>
        <w:t>2023年度一般公共预算财政拨款支出</w:t>
      </w:r>
      <w:r>
        <w:rPr>
          <w:rFonts w:ascii="仿宋" w:eastAsia="仿宋" w:hAnsi="仿宋"/>
          <w:b/>
          <w:sz w:val="32"/>
          <w:szCs w:val="32"/>
        </w:rPr>
        <w:t>2620.42</w:t>
      </w:r>
      <w:r>
        <w:rPr>
          <w:rFonts w:ascii="仿宋" w:eastAsia="仿宋" w:hAnsi="仿宋" w:hint="eastAsia"/>
          <w:sz w:val="32"/>
          <w:szCs w:val="32"/>
        </w:rPr>
        <w:t>万元，占本年支出合计的</w:t>
      </w:r>
      <w:r>
        <w:rPr>
          <w:rFonts w:ascii="仿宋" w:eastAsia="仿宋" w:hAnsi="仿宋"/>
          <w:b/>
          <w:sz w:val="32"/>
          <w:szCs w:val="32"/>
        </w:rPr>
        <w:t>100</w:t>
      </w:r>
      <w:r>
        <w:rPr>
          <w:rFonts w:ascii="仿宋" w:eastAsia="仿宋" w:hAnsi="仿宋"/>
          <w:sz w:val="32"/>
          <w:szCs w:val="32"/>
        </w:rPr>
        <w:t>%</w:t>
      </w:r>
      <w:r>
        <w:rPr>
          <w:rFonts w:ascii="仿宋" w:eastAsia="仿宋" w:hAnsi="仿宋" w:hint="eastAsia"/>
          <w:sz w:val="32"/>
          <w:szCs w:val="32"/>
        </w:rPr>
        <w:t>。与2022年度相比，一般公共预算财政拨款支出增加558.81万元，增长27.11</w:t>
      </w:r>
      <w:r>
        <w:rPr>
          <w:rFonts w:ascii="仿宋" w:eastAsia="仿宋" w:hAnsi="仿宋"/>
          <w:sz w:val="32"/>
          <w:szCs w:val="32"/>
        </w:rPr>
        <w:t>%</w:t>
      </w:r>
      <w:r>
        <w:rPr>
          <w:rFonts w:ascii="仿宋" w:eastAsia="仿宋" w:hAnsi="仿宋" w:hint="eastAsia"/>
          <w:sz w:val="32"/>
          <w:szCs w:val="32"/>
        </w:rPr>
        <w:t>。主要变动原因是基本支出增加142.93万元，项目支出增加415.88万元。</w:t>
      </w:r>
    </w:p>
    <w:p>
      <w:pPr>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（图5：一般公共预算财政拨款支出决算变动情况）（柱状图）</w:t>
      </w:r>
    </w:p>
    <w:p>
      <w:pPr>
        <w:ind w:firstLineChars="200" w:firstLine="640"/>
        <w:rPr>
          <w:rFonts w:ascii="仿宋" w:eastAsia="仿宋" w:hAnsi="仿宋"/>
          <w:sz w:val="32"/>
          <w:szCs w:val="32"/>
        </w:rPr>
      </w:pPr>
      <w:r>
        <w:rPr>
          <w:rFonts w:ascii="仿宋" w:eastAsia="仿宋" w:hAnsi="仿宋"/>
          <w:sz w:val="32"/>
          <w:szCs w:val="32"/>
        </w:rPr>
        <w:drawing>
          <wp:inline distT="0" distB="0" distL="0" distR="0">
            <wp:extent cx="5274310" cy="3076575"/>
            <wp:effectExtent l="19050" t="0" r="21590" b="0"/>
            <wp:docPr id="5" name="图表 6"/>
            <wp:cNvGraphicFramePr>
              <a:graphicFrameLocks noChangeAspect="0"/>
            </wp:cNvGraphicFramePr>
            <a:graphic>
              <a:graphicData uri="http://schemas.openxmlformats.org/drawingml/2006/chart">
                <c:chart xmlns:c="http://schemas.openxmlformats.org/drawingml/2006/chart" r:id="rId8"/>
              </a:graphicData>
            </a:graphic>
          </wp:inline>
        </w:drawing>
      </w:r>
    </w:p>
    <w:p>
      <w:pPr>
        <w:ind w:firstLineChars="200" w:firstLine="640"/>
        <w:outlineLvl w:val="2"/>
        <w:rPr>
          <w:rFonts w:ascii="仿宋" w:eastAsia="仿宋" w:hAnsi="仿宋"/>
          <w:b/>
          <w:sz w:val="32"/>
          <w:szCs w:val="32"/>
        </w:rPr>
      </w:pPr>
      <w:bookmarkStart w:id="58" w:name="_Toc15377211"/>
      <w:bookmarkStart w:id="59" w:name="_Toc176942320"/>
      <w:bookmarkStart w:id="60" w:name="_Toc176942461"/>
      <w:r>
        <w:rPr>
          <w:rFonts w:ascii="仿宋" w:eastAsia="仿宋" w:hAnsi="仿宋" w:hint="eastAsia"/>
          <w:b/>
          <w:sz w:val="32"/>
          <w:szCs w:val="32"/>
        </w:rPr>
        <w:t>（二）一般公共预算财政拨款支出决算结构情况</w:t>
      </w:r>
      <w:bookmarkEnd w:id="58"/>
      <w:bookmarkEnd w:id="59"/>
      <w:bookmarkEnd w:id="60"/>
    </w:p>
    <w:p>
      <w:pPr>
        <w:ind w:firstLine="640"/>
        <w:rPr>
          <w:rFonts w:ascii="仿宋" w:eastAsia="仿宋" w:hAnsi="仿宋"/>
          <w:b/>
          <w:sz w:val="32"/>
          <w:szCs w:val="32"/>
        </w:rPr>
      </w:pPr>
      <w:r>
        <w:rPr>
          <w:rFonts w:ascii="仿宋" w:eastAsia="仿宋" w:hAnsi="仿宋" w:hint="eastAsia"/>
          <w:sz w:val="32"/>
          <w:szCs w:val="32"/>
        </w:rPr>
        <w:t>2023年度一般公共预算财政拨款支出</w:t>
      </w:r>
      <w:r>
        <w:rPr>
          <w:rFonts w:ascii="仿宋" w:eastAsia="仿宋" w:hAnsi="仿宋"/>
          <w:b/>
          <w:sz w:val="32"/>
          <w:szCs w:val="32"/>
        </w:rPr>
        <w:t>2620.42</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一般公共服务</w:t>
      </w:r>
      <w:r>
        <w:rPr>
          <w:rFonts w:ascii="仿宋" w:eastAsia="仿宋" w:hAnsi="仿宋" w:hint="eastAsia"/>
          <w:b/>
          <w:bCs/>
          <w:sz w:val="32"/>
          <w:szCs w:val="32"/>
        </w:rPr>
        <w:t>支出</w:t>
      </w:r>
      <w:r>
        <w:rPr>
          <w:rFonts w:ascii="仿宋" w:eastAsia="仿宋" w:hAnsi="仿宋" w:hint="eastAsia"/>
          <w:sz w:val="32"/>
          <w:szCs w:val="32"/>
        </w:rPr>
        <w:t>844.19万元，占32.21</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社会保障和就业</w:t>
      </w:r>
      <w:r>
        <w:rPr>
          <w:rFonts w:ascii="仿宋" w:eastAsia="仿宋" w:hAnsi="仿宋" w:hint="eastAsia"/>
          <w:b/>
          <w:bCs/>
          <w:sz w:val="32"/>
          <w:szCs w:val="32"/>
        </w:rPr>
        <w:t>支出</w:t>
      </w:r>
      <w:r>
        <w:rPr>
          <w:rFonts w:ascii="仿宋" w:eastAsia="仿宋" w:hAnsi="仿宋" w:hint="eastAsia"/>
          <w:sz w:val="32"/>
          <w:szCs w:val="32"/>
        </w:rPr>
        <w:t>828.84万元，占31.62</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Pr>
          <w:rFonts w:ascii="仿宋" w:eastAsia="仿宋" w:hAnsi="仿宋" w:hint="eastAsia"/>
          <w:sz w:val="32"/>
          <w:szCs w:val="32"/>
        </w:rPr>
        <w:t>59.38万元，占2.27</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农林水支出</w:t>
      </w:r>
      <w:r>
        <w:rPr>
          <w:rFonts w:ascii="仿宋" w:eastAsia="仿宋" w:hAnsi="仿宋" w:hint="eastAsia"/>
          <w:sz w:val="32"/>
          <w:szCs w:val="32"/>
        </w:rPr>
        <w:t>11.52万元，占0.44</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资源勘探工业信息等支出16.92</w:t>
      </w:r>
      <w:r>
        <w:rPr>
          <w:rFonts w:ascii="仿宋" w:eastAsia="仿宋" w:hAnsi="仿宋" w:hint="eastAsia"/>
          <w:sz w:val="32"/>
          <w:szCs w:val="32"/>
        </w:rPr>
        <w:t>万元，占0.65</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商业服务业等支出759.59万元，占28.99</w:t>
      </w:r>
      <w:r>
        <w:rPr>
          <w:rFonts w:ascii="仿宋" w:eastAsia="仿宋" w:hAnsi="仿宋"/>
          <w:b/>
          <w:bCs/>
          <w:sz w:val="32"/>
          <w:szCs w:val="32"/>
        </w:rPr>
        <w:t>%</w:t>
      </w:r>
      <w:r>
        <w:rPr>
          <w:rFonts w:ascii="仿宋" w:eastAsia="仿宋" w:hAnsi="仿宋" w:hint="eastAsia"/>
          <w:sz w:val="32"/>
          <w:szCs w:val="32"/>
        </w:rPr>
        <w:t>；</w:t>
      </w:r>
      <w:r>
        <w:rPr>
          <w:rFonts w:ascii="仿宋" w:eastAsia="仿宋" w:hAnsi="仿宋" w:hint="eastAsia"/>
          <w:b/>
          <w:bCs/>
          <w:sz w:val="32"/>
          <w:szCs w:val="32"/>
        </w:rPr>
        <w:t>住房保障支出</w:t>
      </w:r>
      <w:r>
        <w:rPr>
          <w:rFonts w:ascii="仿宋" w:eastAsia="仿宋" w:hAnsi="仿宋" w:hint="eastAsia"/>
          <w:sz w:val="32"/>
          <w:szCs w:val="32"/>
        </w:rPr>
        <w:t>75.98万元，占2.9</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粮油物资储备支出24万元</w:t>
      </w:r>
      <w:r>
        <w:rPr>
          <w:rFonts w:ascii="仿宋" w:eastAsia="仿宋" w:hAnsi="仿宋" w:hint="eastAsia"/>
          <w:sz w:val="32"/>
          <w:szCs w:val="32"/>
        </w:rPr>
        <w:t>，占0.92%。</w:t>
      </w:r>
    </w:p>
    <w:p>
      <w:pPr>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（图6：一般公共预算财政拨款支出决算结构）（饼状图）</w:t>
      </w:r>
    </w:p>
    <w:p>
      <w:pPr>
        <w:ind w:firstLineChars="200" w:firstLine="640"/>
        <w:rPr>
          <w:rFonts w:ascii="仿宋" w:eastAsia="仿宋" w:hAnsi="仿宋"/>
          <w:sz w:val="32"/>
          <w:szCs w:val="32"/>
        </w:rPr>
      </w:pPr>
      <w:r>
        <w:rPr>
          <w:rFonts w:ascii="仿宋" w:eastAsia="仿宋" w:hAnsi="仿宋"/>
          <w:sz w:val="32"/>
          <w:szCs w:val="32"/>
        </w:rPr>
        <w:drawing>
          <wp:inline distT="0" distB="0" distL="0" distR="0">
            <wp:extent cx="5274310" cy="3076575"/>
            <wp:effectExtent l="19050" t="0" r="21590" b="0"/>
            <wp:docPr id="6" name="图表 7"/>
            <wp:cNvGraphicFramePr>
              <a:graphicFrameLocks noChangeAspect="0"/>
            </wp:cNvGraphicFramePr>
            <a:graphic>
              <a:graphicData uri="http://schemas.openxmlformats.org/drawingml/2006/chart">
                <c:chart xmlns:c="http://schemas.openxmlformats.org/drawingml/2006/chart" r:id="rId9"/>
              </a:graphicData>
            </a:graphic>
          </wp:inline>
        </w:drawing>
      </w:r>
    </w:p>
    <w:p>
      <w:pPr>
        <w:ind w:firstLineChars="200" w:firstLine="640"/>
        <w:outlineLvl w:val="2"/>
        <w:rPr>
          <w:rFonts w:ascii="仿宋" w:eastAsia="仿宋" w:hAnsi="仿宋"/>
          <w:b/>
          <w:sz w:val="32"/>
          <w:szCs w:val="32"/>
        </w:rPr>
      </w:pPr>
      <w:bookmarkStart w:id="61" w:name="_Toc15377212"/>
      <w:bookmarkStart w:id="62" w:name="_Toc176942321"/>
      <w:bookmarkStart w:id="63" w:name="_Toc176942462"/>
      <w:r>
        <w:rPr>
          <w:rFonts w:ascii="仿宋" w:eastAsia="仿宋" w:hAnsi="仿宋" w:hint="eastAsia"/>
          <w:b/>
          <w:sz w:val="32"/>
          <w:szCs w:val="32"/>
        </w:rPr>
        <w:t>（三）一般公共预算财政拨款支出决算具体情况</w:t>
      </w:r>
      <w:bookmarkEnd w:id="61"/>
      <w:bookmarkEnd w:id="62"/>
      <w:bookmarkEnd w:id="63"/>
    </w:p>
    <w:p>
      <w:pPr>
        <w:ind w:firstLineChars="200" w:firstLine="640"/>
        <w:outlineLvl w:val="2"/>
        <w:rPr>
          <w:rFonts w:ascii="仿宋" w:eastAsia="仿宋" w:hAnsi="仿宋"/>
          <w:sz w:val="32"/>
          <w:szCs w:val="32"/>
        </w:rPr>
      </w:pPr>
      <w:bookmarkStart w:id="64" w:name="_Toc15377444"/>
      <w:bookmarkStart w:id="65" w:name="_Toc15378460"/>
      <w:bookmarkStart w:id="66" w:name="_Toc15377213"/>
      <w:bookmarkStart w:id="67" w:name="_Toc176942322"/>
      <w:bookmarkStart w:id="68" w:name="_Toc176942463"/>
      <w:r>
        <w:rPr>
          <w:rFonts w:ascii="仿宋" w:eastAsia="仿宋" w:hAnsi="仿宋" w:hint="eastAsia"/>
          <w:b/>
          <w:sz w:val="32"/>
          <w:szCs w:val="32"/>
        </w:rPr>
        <w:t>2023年度一般公共预算支出决算数为</w:t>
      </w:r>
      <w:r>
        <w:rPr>
          <w:rFonts w:ascii="仿宋" w:eastAsia="仿宋" w:hAnsi="仿宋"/>
          <w:b/>
          <w:sz w:val="32"/>
          <w:szCs w:val="32"/>
        </w:rPr>
        <w:t>2620.42</w:t>
      </w:r>
      <w:r>
        <w:rPr>
          <w:rFonts w:ascii="仿宋" w:eastAsia="仿宋" w:hAnsi="仿宋" w:hint="eastAsia"/>
          <w:sz w:val="32"/>
          <w:szCs w:val="32"/>
        </w:rPr>
        <w:t>，</w:t>
      </w:r>
      <w:r>
        <w:rPr>
          <w:rStyle w:val="25"/>
          <w:rFonts w:ascii="仿宋" w:eastAsia="仿宋" w:hAnsi="仿宋" w:hint="eastAsia"/>
          <w:bCs/>
          <w:sz w:val="32"/>
          <w:szCs w:val="32"/>
        </w:rPr>
        <w:t>完成预算100</w:t>
      </w:r>
      <w:r>
        <w:rPr>
          <w:rStyle w:val="25"/>
          <w:rFonts w:ascii="仿宋" w:eastAsia="仿宋" w:hAnsi="仿宋"/>
          <w:bCs/>
          <w:sz w:val="32"/>
          <w:szCs w:val="32"/>
        </w:rPr>
        <w:t>%</w:t>
      </w:r>
      <w:r>
        <w:rPr>
          <w:rStyle w:val="25"/>
          <w:rFonts w:ascii="仿宋" w:eastAsia="仿宋" w:hAnsi="仿宋" w:hint="eastAsia"/>
          <w:bCs/>
          <w:sz w:val="32"/>
          <w:szCs w:val="32"/>
        </w:rPr>
        <w:t>。其中：</w:t>
      </w:r>
      <w:bookmarkEnd w:id="64"/>
      <w:bookmarkEnd w:id="65"/>
      <w:bookmarkEnd w:id="66"/>
      <w:bookmarkEnd w:id="67"/>
      <w:bookmarkEnd w:id="68"/>
    </w:p>
    <w:p>
      <w:pPr>
        <w:adjustRightInd w:val="0"/>
        <w:ind w:firstLineChars="200" w:firstLine="640"/>
        <w:rPr>
          <w:rFonts w:ascii="仿宋" w:eastAsia="仿宋" w:hAnsi="仿宋"/>
          <w:b/>
          <w:sz w:val="32"/>
          <w:szCs w:val="32"/>
        </w:rPr>
      </w:pPr>
      <w:r>
        <w:rPr>
          <w:rStyle w:val="25"/>
          <w:rFonts w:ascii="仿宋" w:eastAsia="仿宋" w:hAnsi="仿宋"/>
          <w:bCs/>
          <w:sz w:val="32"/>
          <w:szCs w:val="32"/>
        </w:rPr>
        <w:t>1.</w:t>
      </w:r>
      <w:r>
        <w:rPr>
          <w:rStyle w:val="25"/>
          <w:rFonts w:ascii="仿宋" w:eastAsia="仿宋" w:hAnsi="仿宋" w:hint="eastAsia"/>
          <w:bCs/>
          <w:sz w:val="32"/>
          <w:szCs w:val="32"/>
        </w:rPr>
        <w:t>一般公共服务（类）商贸事物（款）行政运行（项）</w:t>
      </w:r>
      <w:r>
        <w:rPr>
          <w:rStyle w:val="25"/>
          <w:rFonts w:ascii="仿宋" w:eastAsia="仿宋" w:hAnsi="仿宋"/>
          <w:bCs/>
          <w:sz w:val="32"/>
          <w:szCs w:val="32"/>
        </w:rPr>
        <w:t xml:space="preserve">: </w:t>
      </w:r>
      <w:r>
        <w:rPr>
          <w:rStyle w:val="25"/>
          <w:rFonts w:ascii="仿宋" w:eastAsia="仿宋" w:hAnsi="仿宋" w:hint="eastAsia"/>
          <w:bCs/>
          <w:sz w:val="32"/>
          <w:szCs w:val="32"/>
        </w:rPr>
        <w:t>支出决算为686.17万元，完成预算100</w:t>
      </w:r>
      <w:r>
        <w:rPr>
          <w:rStyle w:val="25"/>
          <w:rFonts w:ascii="仿宋" w:eastAsia="仿宋" w:hAnsi="仿宋"/>
          <w:bCs/>
          <w:sz w:val="32"/>
          <w:szCs w:val="32"/>
        </w:rPr>
        <w:t>%</w:t>
      </w:r>
      <w:r>
        <w:rPr>
          <w:rStyle w:val="25"/>
          <w:rFonts w:ascii="仿宋" w:eastAsia="仿宋" w:hAnsi="仿宋" w:hint="eastAsia"/>
          <w:bCs/>
          <w:sz w:val="32"/>
          <w:szCs w:val="32"/>
        </w:rPr>
        <w:t>。</w:t>
      </w:r>
    </w:p>
    <w:p>
      <w:pPr>
        <w:adjustRightInd w:val="0"/>
        <w:ind w:firstLineChars="200" w:firstLine="640"/>
        <w:rPr>
          <w:rFonts w:ascii="仿宋" w:eastAsia="仿宋" w:hAnsi="仿宋"/>
          <w:b/>
          <w:sz w:val="32"/>
          <w:szCs w:val="32"/>
        </w:rPr>
      </w:pPr>
      <w:r>
        <w:rPr>
          <w:rStyle w:val="25"/>
          <w:rFonts w:ascii="仿宋" w:eastAsia="仿宋" w:hAnsi="仿宋"/>
          <w:bCs/>
          <w:sz w:val="32"/>
          <w:szCs w:val="32"/>
        </w:rPr>
        <w:t>2.</w:t>
      </w:r>
      <w:r>
        <w:rPr>
          <w:rStyle w:val="25"/>
          <w:rFonts w:ascii="仿宋" w:eastAsia="仿宋" w:hAnsi="仿宋" w:hint="eastAsia"/>
          <w:bCs/>
          <w:sz w:val="32"/>
          <w:szCs w:val="32"/>
        </w:rPr>
        <w:t xml:space="preserve"> 一般公共服务（类）商贸事物（款）事业运行（项）：</w:t>
      </w:r>
      <w:r>
        <w:rPr>
          <w:rStyle w:val="25"/>
          <w:rFonts w:ascii="仿宋" w:eastAsia="仿宋" w:hAnsi="仿宋"/>
          <w:bCs/>
          <w:sz w:val="32"/>
          <w:szCs w:val="32"/>
        </w:rPr>
        <w:t xml:space="preserve"> </w:t>
      </w:r>
      <w:r>
        <w:rPr>
          <w:rStyle w:val="25"/>
          <w:rFonts w:ascii="仿宋" w:eastAsia="仿宋" w:hAnsi="仿宋" w:hint="eastAsia"/>
          <w:bCs/>
          <w:sz w:val="32"/>
          <w:szCs w:val="32"/>
        </w:rPr>
        <w:t>支出决算为124.13万元，完成预算100</w:t>
      </w:r>
      <w:r>
        <w:rPr>
          <w:rStyle w:val="25"/>
          <w:rFonts w:ascii="仿宋" w:eastAsia="仿宋" w:hAnsi="仿宋"/>
          <w:bCs/>
          <w:sz w:val="32"/>
          <w:szCs w:val="32"/>
        </w:rPr>
        <w:t>%</w:t>
      </w:r>
      <w:r>
        <w:rPr>
          <w:rStyle w:val="25"/>
          <w:rFonts w:ascii="仿宋" w:eastAsia="仿宋" w:hAnsi="仿宋" w:hint="eastAsia"/>
          <w:bCs/>
          <w:sz w:val="32"/>
          <w:szCs w:val="32"/>
        </w:rPr>
        <w:t>。</w:t>
      </w:r>
    </w:p>
    <w:p>
      <w:pPr>
        <w:adjustRightInd w:val="0"/>
        <w:ind w:firstLineChars="200" w:firstLine="640"/>
        <w:rPr>
          <w:rFonts w:ascii="仿宋" w:eastAsia="仿宋" w:hAnsi="仿宋"/>
          <w:b/>
          <w:sz w:val="32"/>
          <w:szCs w:val="32"/>
        </w:rPr>
      </w:pPr>
      <w:r>
        <w:rPr>
          <w:rStyle w:val="25"/>
          <w:rFonts w:ascii="仿宋" w:eastAsia="仿宋" w:hAnsi="仿宋"/>
          <w:bCs/>
          <w:sz w:val="32"/>
          <w:szCs w:val="32"/>
        </w:rPr>
        <w:t>3.</w:t>
      </w:r>
      <w:r>
        <w:rPr>
          <w:rStyle w:val="25"/>
          <w:rFonts w:ascii="仿宋" w:eastAsia="仿宋" w:hAnsi="仿宋" w:hint="eastAsia"/>
          <w:bCs/>
          <w:sz w:val="32"/>
          <w:szCs w:val="32"/>
        </w:rPr>
        <w:t xml:space="preserve"> 一般公共服务（类）商贸事物（款）其他商贸事务支出（项）</w:t>
      </w:r>
      <w:r>
        <w:rPr>
          <w:rStyle w:val="25"/>
          <w:rFonts w:ascii="仿宋" w:eastAsia="仿宋" w:hAnsi="仿宋"/>
          <w:bCs/>
          <w:sz w:val="32"/>
          <w:szCs w:val="32"/>
        </w:rPr>
        <w:t>:</w:t>
      </w:r>
      <w:r>
        <w:rPr>
          <w:rStyle w:val="25"/>
          <w:rFonts w:ascii="仿宋" w:eastAsia="仿宋" w:hAnsi="仿宋" w:hint="eastAsia"/>
          <w:bCs/>
          <w:sz w:val="32"/>
          <w:szCs w:val="32"/>
        </w:rPr>
        <w:t>支出决算为30.69万元，完成预算100</w:t>
      </w:r>
      <w:r>
        <w:rPr>
          <w:rStyle w:val="25"/>
          <w:rFonts w:ascii="仿宋" w:eastAsia="仿宋" w:hAnsi="仿宋"/>
          <w:bCs/>
          <w:sz w:val="32"/>
          <w:szCs w:val="32"/>
        </w:rPr>
        <w:t>%</w:t>
      </w:r>
      <w:r>
        <w:rPr>
          <w:rStyle w:val="25"/>
          <w:rFonts w:ascii="仿宋" w:eastAsia="仿宋" w:hAnsi="仿宋" w:hint="eastAsia"/>
          <w:bCs/>
          <w:sz w:val="32"/>
          <w:szCs w:val="32"/>
        </w:rPr>
        <w:t>。</w:t>
      </w:r>
    </w:p>
    <w:p>
      <w:pPr>
        <w:adjustRightInd w:val="0"/>
        <w:ind w:firstLineChars="200" w:firstLine="640"/>
        <w:rPr>
          <w:rFonts w:ascii="仿宋" w:eastAsia="仿宋" w:hAnsi="仿宋"/>
          <w:b/>
          <w:sz w:val="32"/>
          <w:szCs w:val="32"/>
        </w:rPr>
      </w:pPr>
      <w:r>
        <w:rPr>
          <w:rStyle w:val="25"/>
          <w:rFonts w:ascii="仿宋" w:eastAsia="仿宋" w:hAnsi="仿宋"/>
          <w:bCs/>
          <w:sz w:val="32"/>
          <w:szCs w:val="32"/>
        </w:rPr>
        <w:t>4.</w:t>
      </w:r>
      <w:r>
        <w:rPr>
          <w:rStyle w:val="25"/>
          <w:rFonts w:ascii="仿宋" w:eastAsia="仿宋" w:hAnsi="仿宋" w:hint="eastAsia"/>
          <w:bCs/>
          <w:sz w:val="32"/>
          <w:szCs w:val="32"/>
        </w:rPr>
        <w:t>一般公共服务（类）组织事物（款）其他组织事物支出（项）</w:t>
      </w:r>
      <w:r>
        <w:rPr>
          <w:rStyle w:val="25"/>
          <w:rFonts w:ascii="仿宋" w:eastAsia="仿宋" w:hAnsi="仿宋"/>
          <w:bCs/>
          <w:sz w:val="32"/>
          <w:szCs w:val="32"/>
        </w:rPr>
        <w:t xml:space="preserve">: </w:t>
      </w:r>
      <w:r>
        <w:rPr>
          <w:rStyle w:val="25"/>
          <w:rFonts w:ascii="仿宋" w:eastAsia="仿宋" w:hAnsi="仿宋" w:hint="eastAsia"/>
          <w:bCs/>
          <w:sz w:val="32"/>
          <w:szCs w:val="32"/>
        </w:rPr>
        <w:t>支出决算为1.2万元，完成预算100</w:t>
      </w:r>
      <w:r>
        <w:rPr>
          <w:rStyle w:val="25"/>
          <w:rFonts w:ascii="仿宋" w:eastAsia="仿宋" w:hAnsi="仿宋"/>
          <w:bCs/>
          <w:sz w:val="32"/>
          <w:szCs w:val="32"/>
        </w:rPr>
        <w:t>%</w:t>
      </w:r>
      <w:r>
        <w:rPr>
          <w:rStyle w:val="25"/>
          <w:rFonts w:ascii="仿宋" w:eastAsia="仿宋" w:hAnsi="仿宋" w:hint="eastAsia"/>
          <w:bCs/>
          <w:sz w:val="32"/>
          <w:szCs w:val="32"/>
        </w:rPr>
        <w:t>。</w:t>
      </w:r>
    </w:p>
    <w:p>
      <w:pPr>
        <w:adjustRightInd w:val="0"/>
        <w:ind w:firstLineChars="200" w:firstLine="640"/>
        <w:rPr>
          <w:rFonts w:ascii="仿宋" w:eastAsia="仿宋" w:hAnsi="仿宋"/>
          <w:b/>
          <w:sz w:val="32"/>
          <w:szCs w:val="32"/>
        </w:rPr>
      </w:pPr>
      <w:r>
        <w:rPr>
          <w:rStyle w:val="25"/>
          <w:rFonts w:ascii="仿宋" w:eastAsia="仿宋" w:hAnsi="仿宋"/>
          <w:bCs/>
          <w:sz w:val="32"/>
          <w:szCs w:val="32"/>
        </w:rPr>
        <w:t>5.</w:t>
      </w:r>
      <w:r>
        <w:rPr>
          <w:rStyle w:val="25"/>
          <w:rFonts w:ascii="仿宋" w:eastAsia="仿宋" w:hAnsi="仿宋" w:hint="eastAsia"/>
          <w:bCs/>
          <w:sz w:val="32"/>
          <w:szCs w:val="32"/>
        </w:rPr>
        <w:t xml:space="preserve"> 一般公共服务（类）市场监督管理事务（款）食品安全监管（项）</w:t>
      </w:r>
      <w:r>
        <w:rPr>
          <w:rStyle w:val="25"/>
          <w:rFonts w:ascii="仿宋" w:eastAsia="仿宋" w:hAnsi="仿宋"/>
          <w:bCs/>
          <w:sz w:val="32"/>
          <w:szCs w:val="32"/>
        </w:rPr>
        <w:t xml:space="preserve">: </w:t>
      </w:r>
      <w:r>
        <w:rPr>
          <w:rStyle w:val="25"/>
          <w:rFonts w:ascii="仿宋" w:eastAsia="仿宋" w:hAnsi="仿宋" w:hint="eastAsia"/>
          <w:bCs/>
          <w:sz w:val="32"/>
          <w:szCs w:val="32"/>
        </w:rPr>
        <w:t>支出决算为2万元，完成预算100</w:t>
      </w:r>
      <w:r>
        <w:rPr>
          <w:rStyle w:val="25"/>
          <w:rFonts w:ascii="仿宋" w:eastAsia="仿宋" w:hAnsi="仿宋"/>
          <w:bCs/>
          <w:sz w:val="32"/>
          <w:szCs w:val="32"/>
        </w:rPr>
        <w:t>%</w:t>
      </w:r>
      <w:r>
        <w:rPr>
          <w:rStyle w:val="25"/>
          <w:rFonts w:ascii="仿宋" w:eastAsia="仿宋" w:hAnsi="仿宋" w:hint="eastAsia"/>
          <w:bCs/>
          <w:sz w:val="32"/>
          <w:szCs w:val="32"/>
        </w:rPr>
        <w:t>。</w:t>
      </w:r>
    </w:p>
    <w:p>
      <w:pPr>
        <w:adjustRightInd w:val="0"/>
        <w:ind w:firstLineChars="200" w:firstLine="640"/>
        <w:rPr>
          <w:rFonts w:ascii="仿宋" w:eastAsia="仿宋" w:hAnsi="仿宋"/>
          <w:b/>
          <w:sz w:val="32"/>
          <w:szCs w:val="32"/>
        </w:rPr>
      </w:pPr>
      <w:r>
        <w:rPr>
          <w:rStyle w:val="25"/>
          <w:rFonts w:ascii="仿宋" w:eastAsia="仿宋" w:hAnsi="仿宋"/>
          <w:bCs/>
          <w:sz w:val="32"/>
          <w:szCs w:val="32"/>
        </w:rPr>
        <w:t>6.</w:t>
      </w:r>
      <w:r>
        <w:rPr>
          <w:rStyle w:val="25"/>
          <w:rFonts w:ascii="仿宋" w:eastAsia="仿宋" w:hAnsi="仿宋" w:hint="eastAsia"/>
          <w:bCs/>
          <w:sz w:val="32"/>
          <w:szCs w:val="32"/>
        </w:rPr>
        <w:t>社会保障和就业（类）行政事业单位养老支出（款）行政单位离退休（项）</w:t>
      </w:r>
      <w:r>
        <w:rPr>
          <w:rStyle w:val="25"/>
          <w:rFonts w:ascii="仿宋" w:eastAsia="仿宋" w:hAnsi="仿宋"/>
          <w:bCs/>
          <w:sz w:val="32"/>
          <w:szCs w:val="32"/>
        </w:rPr>
        <w:t xml:space="preserve">: </w:t>
      </w:r>
      <w:r>
        <w:rPr>
          <w:rStyle w:val="25"/>
          <w:rFonts w:ascii="仿宋" w:eastAsia="仿宋" w:hAnsi="仿宋" w:hint="eastAsia"/>
          <w:bCs/>
          <w:sz w:val="32"/>
          <w:szCs w:val="32"/>
        </w:rPr>
        <w:t>支出决算为525.34万元，完成预算100</w:t>
      </w:r>
      <w:r>
        <w:rPr>
          <w:rStyle w:val="25"/>
          <w:rFonts w:ascii="仿宋" w:eastAsia="仿宋" w:hAnsi="仿宋"/>
          <w:bCs/>
          <w:sz w:val="32"/>
          <w:szCs w:val="32"/>
        </w:rPr>
        <w:t>%</w:t>
      </w:r>
      <w:r>
        <w:rPr>
          <w:rStyle w:val="25"/>
          <w:rFonts w:ascii="仿宋" w:eastAsia="仿宋" w:hAnsi="仿宋" w:hint="eastAsia"/>
          <w:bCs/>
          <w:sz w:val="32"/>
          <w:szCs w:val="32"/>
        </w:rPr>
        <w:t>。</w:t>
      </w:r>
    </w:p>
    <w:p>
      <w:pPr>
        <w:adjustRightInd w:val="0"/>
        <w:ind w:firstLineChars="200" w:firstLine="420"/>
        <w:rPr>
          <w:rStyle w:val="25"/>
          <w:rFonts w:ascii="仿宋" w:eastAsia="仿宋" w:hAnsi="仿宋"/>
          <w:b w:val="0"/>
          <w:bCs/>
          <w:sz w:val="32"/>
          <w:szCs w:val="32"/>
        </w:rPr>
      </w:pPr>
      <w:r>
        <w:rPr>
          <w:rFonts w:hint="eastAsia"/>
        </w:rPr>
        <w:t xml:space="preserve">  </w:t>
      </w:r>
      <w:r>
        <w:rPr>
          <w:rStyle w:val="25"/>
          <w:rFonts w:ascii="仿宋" w:eastAsia="仿宋" w:hAnsi="仿宋" w:hint="eastAsia"/>
          <w:bCs/>
          <w:sz w:val="32"/>
          <w:szCs w:val="32"/>
        </w:rPr>
        <w:t>7</w:t>
      </w:r>
      <w:r>
        <w:rPr>
          <w:rStyle w:val="25"/>
          <w:rFonts w:ascii="仿宋" w:eastAsia="仿宋" w:hAnsi="仿宋"/>
          <w:bCs/>
          <w:sz w:val="32"/>
          <w:szCs w:val="32"/>
        </w:rPr>
        <w:t>.</w:t>
      </w:r>
      <w:r>
        <w:rPr>
          <w:rStyle w:val="25"/>
          <w:rFonts w:ascii="仿宋" w:eastAsia="仿宋" w:hAnsi="仿宋" w:hint="eastAsia"/>
          <w:bCs/>
          <w:sz w:val="32"/>
          <w:szCs w:val="32"/>
        </w:rPr>
        <w:t>社会保障和就业（类）行政事业单位养老支出（款）事业单位离退休（项）</w:t>
      </w:r>
      <w:r>
        <w:rPr>
          <w:rStyle w:val="25"/>
          <w:rFonts w:ascii="仿宋" w:eastAsia="仿宋" w:hAnsi="仿宋"/>
          <w:bCs/>
          <w:sz w:val="32"/>
          <w:szCs w:val="32"/>
        </w:rPr>
        <w:t>:</w:t>
      </w:r>
      <w:r>
        <w:rPr>
          <w:rStyle w:val="25"/>
          <w:rFonts w:ascii="仿宋" w:eastAsia="仿宋" w:hAnsi="仿宋" w:hint="eastAsia"/>
          <w:bCs/>
          <w:sz w:val="32"/>
          <w:szCs w:val="32"/>
        </w:rPr>
        <w:t>支出决算为5.81万元，完成预算100</w:t>
      </w:r>
      <w:r>
        <w:rPr>
          <w:rStyle w:val="25"/>
          <w:rFonts w:ascii="仿宋" w:eastAsia="仿宋" w:hAnsi="仿宋"/>
          <w:bCs/>
          <w:sz w:val="32"/>
          <w:szCs w:val="32"/>
        </w:rPr>
        <w:t>%</w:t>
      </w:r>
      <w:r>
        <w:rPr>
          <w:rStyle w:val="25"/>
          <w:rFonts w:ascii="仿宋" w:eastAsia="仿宋" w:hAnsi="仿宋" w:hint="eastAsia"/>
          <w:bCs/>
          <w:sz w:val="32"/>
          <w:szCs w:val="32"/>
        </w:rPr>
        <w:t>。</w:t>
      </w:r>
    </w:p>
    <w:p>
      <w:pPr>
        <w:adjustRightInd w:val="0"/>
        <w:ind w:firstLineChars="200" w:firstLine="640"/>
        <w:rPr>
          <w:rStyle w:val="25"/>
          <w:rFonts w:ascii="仿宋" w:eastAsia="仿宋" w:hAnsi="仿宋"/>
          <w:b w:val="0"/>
          <w:bCs/>
          <w:sz w:val="32"/>
          <w:szCs w:val="32"/>
        </w:rPr>
      </w:pPr>
      <w:r>
        <w:rPr>
          <w:rStyle w:val="25"/>
          <w:rFonts w:ascii="仿宋" w:eastAsia="仿宋" w:hAnsi="仿宋" w:hint="eastAsia"/>
          <w:bCs/>
          <w:sz w:val="32"/>
          <w:szCs w:val="32"/>
        </w:rPr>
        <w:t>8</w:t>
      </w:r>
      <w:r>
        <w:rPr>
          <w:rStyle w:val="25"/>
          <w:rFonts w:ascii="仿宋" w:eastAsia="仿宋" w:hAnsi="仿宋"/>
          <w:bCs/>
          <w:sz w:val="32"/>
          <w:szCs w:val="32"/>
        </w:rPr>
        <w:t>.</w:t>
      </w:r>
      <w:r>
        <w:rPr>
          <w:rStyle w:val="25"/>
          <w:rFonts w:ascii="仿宋" w:eastAsia="仿宋" w:hAnsi="仿宋" w:hint="eastAsia"/>
          <w:bCs/>
          <w:sz w:val="32"/>
          <w:szCs w:val="32"/>
        </w:rPr>
        <w:t>社会保障和就业（类）行政事业单位养老支出（款）机关事业单位基本养老保险缴费支出（项）</w:t>
      </w:r>
      <w:r>
        <w:rPr>
          <w:rStyle w:val="25"/>
          <w:rFonts w:ascii="仿宋" w:eastAsia="仿宋" w:hAnsi="仿宋"/>
          <w:bCs/>
          <w:sz w:val="32"/>
          <w:szCs w:val="32"/>
        </w:rPr>
        <w:t>:</w:t>
      </w:r>
      <w:r>
        <w:rPr>
          <w:rStyle w:val="25"/>
          <w:rFonts w:ascii="仿宋" w:eastAsia="仿宋" w:hAnsi="仿宋" w:hint="eastAsia"/>
          <w:bCs/>
          <w:sz w:val="32"/>
          <w:szCs w:val="32"/>
        </w:rPr>
        <w:t>支出决算为103.05万元，完成预算100</w:t>
      </w:r>
      <w:r>
        <w:rPr>
          <w:rStyle w:val="25"/>
          <w:rFonts w:ascii="仿宋" w:eastAsia="仿宋" w:hAnsi="仿宋"/>
          <w:bCs/>
          <w:sz w:val="32"/>
          <w:szCs w:val="32"/>
        </w:rPr>
        <w:t>%</w:t>
      </w:r>
      <w:r>
        <w:rPr>
          <w:rStyle w:val="25"/>
          <w:rFonts w:ascii="仿宋" w:eastAsia="仿宋" w:hAnsi="仿宋" w:hint="eastAsia"/>
          <w:bCs/>
          <w:sz w:val="32"/>
          <w:szCs w:val="32"/>
        </w:rPr>
        <w:t>。</w:t>
      </w:r>
    </w:p>
    <w:p>
      <w:pPr>
        <w:adjustRightInd w:val="0"/>
        <w:ind w:firstLineChars="200" w:firstLine="420"/>
        <w:rPr>
          <w:rStyle w:val="25"/>
          <w:rFonts w:ascii="仿宋" w:eastAsia="仿宋" w:hAnsi="仿宋"/>
          <w:b w:val="0"/>
          <w:bCs/>
          <w:sz w:val="32"/>
          <w:szCs w:val="32"/>
        </w:rPr>
      </w:pPr>
      <w:r>
        <w:rPr>
          <w:rFonts w:hint="eastAsia"/>
        </w:rPr>
        <w:t xml:space="preserve">   </w:t>
      </w:r>
      <w:r>
        <w:rPr>
          <w:rStyle w:val="25"/>
          <w:rFonts w:ascii="仿宋" w:eastAsia="仿宋" w:hAnsi="仿宋" w:hint="eastAsia"/>
          <w:bCs/>
          <w:sz w:val="32"/>
          <w:szCs w:val="32"/>
        </w:rPr>
        <w:t>9</w:t>
      </w:r>
      <w:r>
        <w:rPr>
          <w:rStyle w:val="25"/>
          <w:rFonts w:ascii="仿宋" w:eastAsia="仿宋" w:hAnsi="仿宋"/>
          <w:bCs/>
          <w:sz w:val="32"/>
          <w:szCs w:val="32"/>
        </w:rPr>
        <w:t>.</w:t>
      </w:r>
      <w:r>
        <w:rPr>
          <w:rStyle w:val="25"/>
          <w:rFonts w:ascii="仿宋" w:eastAsia="仿宋" w:hAnsi="仿宋" w:hint="eastAsia"/>
          <w:bCs/>
          <w:sz w:val="32"/>
          <w:szCs w:val="32"/>
        </w:rPr>
        <w:t>社会保障和就业（类）抚恤（款）死亡抚恤（项）</w:t>
      </w:r>
      <w:r>
        <w:rPr>
          <w:rStyle w:val="25"/>
          <w:rFonts w:ascii="仿宋" w:eastAsia="仿宋" w:hAnsi="仿宋"/>
          <w:bCs/>
          <w:sz w:val="32"/>
          <w:szCs w:val="32"/>
        </w:rPr>
        <w:t>:</w:t>
      </w:r>
      <w:r>
        <w:rPr>
          <w:rStyle w:val="25"/>
          <w:rFonts w:ascii="仿宋" w:eastAsia="仿宋" w:hAnsi="仿宋" w:hint="eastAsia"/>
          <w:bCs/>
          <w:sz w:val="32"/>
          <w:szCs w:val="32"/>
        </w:rPr>
        <w:t>支出决算为194.05万元，完成预算100</w:t>
      </w:r>
      <w:r>
        <w:rPr>
          <w:rStyle w:val="25"/>
          <w:rFonts w:ascii="仿宋" w:eastAsia="仿宋" w:hAnsi="仿宋"/>
          <w:bCs/>
          <w:sz w:val="32"/>
          <w:szCs w:val="32"/>
        </w:rPr>
        <w:t>%</w:t>
      </w:r>
      <w:r>
        <w:rPr>
          <w:rStyle w:val="25"/>
          <w:rFonts w:ascii="仿宋" w:eastAsia="仿宋" w:hAnsi="仿宋" w:hint="eastAsia"/>
          <w:bCs/>
          <w:sz w:val="32"/>
          <w:szCs w:val="32"/>
        </w:rPr>
        <w:t>。</w:t>
      </w:r>
    </w:p>
    <w:p>
      <w:pPr>
        <w:adjustRightInd w:val="0"/>
        <w:ind w:firstLineChars="200" w:firstLine="420"/>
        <w:rPr>
          <w:rStyle w:val="25"/>
          <w:rFonts w:ascii="仿宋" w:eastAsia="仿宋" w:hAnsi="仿宋"/>
          <w:b w:val="0"/>
          <w:bCs/>
          <w:sz w:val="32"/>
          <w:szCs w:val="32"/>
        </w:rPr>
      </w:pPr>
      <w:r>
        <w:rPr>
          <w:rFonts w:hint="eastAsia"/>
        </w:rPr>
        <w:t xml:space="preserve"> </w:t>
      </w:r>
      <w:r>
        <w:rPr>
          <w:rStyle w:val="25"/>
          <w:rFonts w:ascii="仿宋" w:eastAsia="仿宋" w:hAnsi="仿宋" w:hint="eastAsia"/>
          <w:bCs/>
          <w:sz w:val="32"/>
          <w:szCs w:val="32"/>
        </w:rPr>
        <w:t xml:space="preserve"> 10</w:t>
      </w:r>
      <w:r>
        <w:rPr>
          <w:rStyle w:val="25"/>
          <w:rFonts w:ascii="仿宋" w:eastAsia="仿宋" w:hAnsi="仿宋"/>
          <w:bCs/>
          <w:sz w:val="32"/>
          <w:szCs w:val="32"/>
        </w:rPr>
        <w:t>.</w:t>
      </w:r>
      <w:r>
        <w:rPr>
          <w:rStyle w:val="25"/>
          <w:rFonts w:ascii="仿宋" w:eastAsia="仿宋" w:hAnsi="仿宋" w:hint="eastAsia"/>
          <w:bCs/>
          <w:sz w:val="32"/>
          <w:szCs w:val="32"/>
        </w:rPr>
        <w:t>社会保障和就业（类）社会福利（款）儿童福利（项）</w:t>
      </w:r>
      <w:r>
        <w:rPr>
          <w:rStyle w:val="25"/>
          <w:rFonts w:ascii="仿宋" w:eastAsia="仿宋" w:hAnsi="仿宋"/>
          <w:bCs/>
          <w:sz w:val="32"/>
          <w:szCs w:val="32"/>
        </w:rPr>
        <w:t>:</w:t>
      </w:r>
      <w:r>
        <w:rPr>
          <w:rStyle w:val="25"/>
          <w:rFonts w:ascii="仿宋" w:eastAsia="仿宋" w:hAnsi="仿宋" w:hint="eastAsia"/>
          <w:bCs/>
          <w:sz w:val="32"/>
          <w:szCs w:val="32"/>
        </w:rPr>
        <w:t>支出决算为0.6万元，完成预算100</w:t>
      </w:r>
      <w:r>
        <w:rPr>
          <w:rStyle w:val="25"/>
          <w:rFonts w:ascii="仿宋" w:eastAsia="仿宋" w:hAnsi="仿宋"/>
          <w:bCs/>
          <w:sz w:val="32"/>
          <w:szCs w:val="32"/>
        </w:rPr>
        <w:t>%</w:t>
      </w:r>
      <w:r>
        <w:rPr>
          <w:rStyle w:val="25"/>
          <w:rFonts w:ascii="仿宋" w:eastAsia="仿宋" w:hAnsi="仿宋" w:hint="eastAsia"/>
          <w:bCs/>
          <w:sz w:val="32"/>
          <w:szCs w:val="32"/>
        </w:rPr>
        <w:t>。</w:t>
      </w:r>
    </w:p>
    <w:p>
      <w:pPr>
        <w:adjustRightInd w:val="0"/>
        <w:ind w:firstLineChars="200" w:firstLine="420"/>
        <w:rPr>
          <w:rStyle w:val="25"/>
          <w:rFonts w:ascii="仿宋" w:eastAsia="仿宋" w:hAnsi="仿宋"/>
          <w:bCs/>
          <w:sz w:val="32"/>
          <w:szCs w:val="32"/>
        </w:rPr>
      </w:pPr>
      <w:r>
        <w:rPr>
          <w:rFonts w:hint="eastAsia"/>
        </w:rPr>
        <w:t xml:space="preserve">  </w:t>
      </w:r>
      <w:r>
        <w:rPr>
          <w:rStyle w:val="25"/>
          <w:rFonts w:ascii="仿宋" w:eastAsia="仿宋" w:hAnsi="仿宋" w:hint="eastAsia"/>
          <w:bCs/>
          <w:sz w:val="32"/>
          <w:szCs w:val="32"/>
        </w:rPr>
        <w:t>11</w:t>
      </w:r>
      <w:r>
        <w:rPr>
          <w:rStyle w:val="25"/>
          <w:rFonts w:ascii="仿宋" w:eastAsia="仿宋" w:hAnsi="仿宋"/>
          <w:bCs/>
          <w:sz w:val="32"/>
          <w:szCs w:val="32"/>
        </w:rPr>
        <w:t>.</w:t>
      </w:r>
      <w:r>
        <w:rPr>
          <w:rStyle w:val="25"/>
          <w:rFonts w:ascii="仿宋" w:eastAsia="仿宋" w:hAnsi="仿宋" w:hint="eastAsia"/>
          <w:bCs/>
          <w:sz w:val="32"/>
          <w:szCs w:val="32"/>
        </w:rPr>
        <w:t>卫生健康（类）行政事业单位医疗（款）行政单位医疗（项）</w:t>
      </w:r>
      <w:r>
        <w:rPr>
          <w:rStyle w:val="25"/>
          <w:rFonts w:ascii="仿宋" w:eastAsia="仿宋" w:hAnsi="仿宋"/>
          <w:bCs/>
          <w:sz w:val="32"/>
          <w:szCs w:val="32"/>
        </w:rPr>
        <w:t>:</w:t>
      </w:r>
      <w:r>
        <w:rPr>
          <w:rStyle w:val="25"/>
          <w:rFonts w:ascii="仿宋" w:eastAsia="仿宋" w:hAnsi="仿宋" w:hint="eastAsia"/>
          <w:bCs/>
          <w:sz w:val="32"/>
          <w:szCs w:val="32"/>
        </w:rPr>
        <w:t>支出决算为41.2万元，完成预算100</w:t>
      </w:r>
      <w:r>
        <w:rPr>
          <w:rStyle w:val="25"/>
          <w:rFonts w:ascii="仿宋" w:eastAsia="仿宋" w:hAnsi="仿宋"/>
          <w:bCs/>
          <w:sz w:val="32"/>
          <w:szCs w:val="32"/>
        </w:rPr>
        <w:t>%</w:t>
      </w:r>
      <w:r>
        <w:rPr>
          <w:rStyle w:val="25"/>
          <w:rFonts w:ascii="仿宋" w:eastAsia="仿宋" w:hAnsi="仿宋" w:hint="eastAsia"/>
          <w:bCs/>
          <w:sz w:val="32"/>
          <w:szCs w:val="32"/>
        </w:rPr>
        <w:t>。</w:t>
      </w:r>
    </w:p>
    <w:p>
      <w:pPr>
        <w:adjustRightInd w:val="0"/>
        <w:ind w:firstLineChars="200" w:firstLine="640"/>
        <w:rPr>
          <w:rStyle w:val="25"/>
          <w:rFonts w:ascii="仿宋" w:eastAsia="仿宋" w:hAnsi="仿宋"/>
          <w:bCs/>
          <w:sz w:val="32"/>
          <w:szCs w:val="32"/>
        </w:rPr>
      </w:pPr>
      <w:r>
        <w:rPr>
          <w:rStyle w:val="25"/>
          <w:rFonts w:ascii="仿宋" w:eastAsia="仿宋" w:hAnsi="仿宋" w:hint="eastAsia"/>
          <w:bCs/>
          <w:sz w:val="32"/>
          <w:szCs w:val="32"/>
        </w:rPr>
        <w:t>12</w:t>
      </w:r>
      <w:r>
        <w:rPr>
          <w:rStyle w:val="25"/>
          <w:rFonts w:ascii="仿宋" w:eastAsia="仿宋" w:hAnsi="仿宋"/>
          <w:bCs/>
          <w:sz w:val="32"/>
          <w:szCs w:val="32"/>
        </w:rPr>
        <w:t>.</w:t>
      </w:r>
      <w:r>
        <w:rPr>
          <w:rStyle w:val="25"/>
          <w:rFonts w:ascii="仿宋" w:eastAsia="仿宋" w:hAnsi="仿宋" w:hint="eastAsia"/>
          <w:bCs/>
          <w:sz w:val="32"/>
          <w:szCs w:val="32"/>
        </w:rPr>
        <w:t>卫生健康（类）行政事业单位医疗（款）事业单位医疗（项）</w:t>
      </w:r>
      <w:r>
        <w:rPr>
          <w:rStyle w:val="25"/>
          <w:rFonts w:ascii="仿宋" w:eastAsia="仿宋" w:hAnsi="仿宋"/>
          <w:bCs/>
          <w:sz w:val="32"/>
          <w:szCs w:val="32"/>
        </w:rPr>
        <w:t>:</w:t>
      </w:r>
      <w:r>
        <w:rPr>
          <w:rStyle w:val="25"/>
          <w:rFonts w:ascii="仿宋" w:eastAsia="仿宋" w:hAnsi="仿宋" w:hint="eastAsia"/>
          <w:bCs/>
          <w:sz w:val="32"/>
          <w:szCs w:val="32"/>
        </w:rPr>
        <w:t>支出决算为8.2万元，完成预算100</w:t>
      </w:r>
      <w:r>
        <w:rPr>
          <w:rStyle w:val="25"/>
          <w:rFonts w:ascii="仿宋" w:eastAsia="仿宋" w:hAnsi="仿宋"/>
          <w:bCs/>
          <w:sz w:val="32"/>
          <w:szCs w:val="32"/>
        </w:rPr>
        <w:t>%</w:t>
      </w:r>
      <w:r>
        <w:rPr>
          <w:rStyle w:val="25"/>
          <w:rFonts w:ascii="仿宋" w:eastAsia="仿宋" w:hAnsi="仿宋" w:hint="eastAsia"/>
          <w:bCs/>
          <w:sz w:val="32"/>
          <w:szCs w:val="32"/>
        </w:rPr>
        <w:t>。</w:t>
      </w:r>
    </w:p>
    <w:p>
      <w:pPr>
        <w:adjustRightInd w:val="0"/>
        <w:ind w:firstLineChars="200" w:firstLine="640"/>
        <w:rPr>
          <w:rStyle w:val="25"/>
          <w:rFonts w:ascii="仿宋" w:eastAsia="仿宋" w:hAnsi="仿宋"/>
          <w:bCs/>
          <w:sz w:val="32"/>
          <w:szCs w:val="32"/>
        </w:rPr>
      </w:pPr>
      <w:r>
        <w:rPr>
          <w:rStyle w:val="25"/>
          <w:rFonts w:ascii="仿宋" w:eastAsia="仿宋" w:hAnsi="仿宋" w:hint="eastAsia"/>
          <w:bCs/>
          <w:sz w:val="32"/>
          <w:szCs w:val="32"/>
        </w:rPr>
        <w:t>13</w:t>
      </w:r>
      <w:r>
        <w:rPr>
          <w:rStyle w:val="25"/>
          <w:rFonts w:ascii="仿宋" w:eastAsia="仿宋" w:hAnsi="仿宋"/>
          <w:bCs/>
          <w:sz w:val="32"/>
          <w:szCs w:val="32"/>
        </w:rPr>
        <w:t>.</w:t>
      </w:r>
      <w:r>
        <w:rPr>
          <w:rStyle w:val="25"/>
          <w:rFonts w:ascii="仿宋" w:eastAsia="仿宋" w:hAnsi="仿宋" w:hint="eastAsia"/>
          <w:bCs/>
          <w:sz w:val="32"/>
          <w:szCs w:val="32"/>
        </w:rPr>
        <w:t xml:space="preserve"> 卫生健康（类）行政事业单位医疗（款）公务员医疗补助（项）</w:t>
      </w:r>
      <w:r>
        <w:rPr>
          <w:rStyle w:val="25"/>
          <w:rFonts w:ascii="仿宋" w:eastAsia="仿宋" w:hAnsi="仿宋"/>
          <w:bCs/>
          <w:sz w:val="32"/>
          <w:szCs w:val="32"/>
        </w:rPr>
        <w:t>:</w:t>
      </w:r>
      <w:r>
        <w:rPr>
          <w:rStyle w:val="25"/>
          <w:rFonts w:ascii="仿宋" w:eastAsia="仿宋" w:hAnsi="仿宋" w:hint="eastAsia"/>
          <w:bCs/>
          <w:sz w:val="32"/>
          <w:szCs w:val="32"/>
        </w:rPr>
        <w:t>支出决算为2.68万元，完成预算100</w:t>
      </w:r>
      <w:r>
        <w:rPr>
          <w:rStyle w:val="25"/>
          <w:rFonts w:ascii="仿宋" w:eastAsia="仿宋" w:hAnsi="仿宋"/>
          <w:bCs/>
          <w:sz w:val="32"/>
          <w:szCs w:val="32"/>
        </w:rPr>
        <w:t>%</w:t>
      </w:r>
      <w:r>
        <w:rPr>
          <w:rStyle w:val="25"/>
          <w:rFonts w:ascii="仿宋" w:eastAsia="仿宋" w:hAnsi="仿宋" w:hint="eastAsia"/>
          <w:bCs/>
          <w:sz w:val="32"/>
          <w:szCs w:val="32"/>
        </w:rPr>
        <w:t>。</w:t>
      </w:r>
    </w:p>
    <w:p>
      <w:pPr>
        <w:adjustRightInd w:val="0"/>
        <w:ind w:firstLineChars="200" w:firstLine="640"/>
        <w:rPr>
          <w:rStyle w:val="25"/>
          <w:rFonts w:ascii="仿宋" w:eastAsia="仿宋" w:hAnsi="仿宋"/>
          <w:bCs/>
          <w:sz w:val="32"/>
          <w:szCs w:val="32"/>
        </w:rPr>
      </w:pPr>
      <w:r>
        <w:rPr>
          <w:rStyle w:val="25"/>
          <w:rFonts w:ascii="仿宋" w:eastAsia="仿宋" w:hAnsi="仿宋" w:hint="eastAsia"/>
          <w:bCs/>
          <w:sz w:val="32"/>
          <w:szCs w:val="32"/>
        </w:rPr>
        <w:t>14</w:t>
      </w:r>
      <w:r>
        <w:rPr>
          <w:rStyle w:val="25"/>
          <w:rFonts w:ascii="仿宋" w:eastAsia="仿宋" w:hAnsi="仿宋"/>
          <w:bCs/>
          <w:sz w:val="32"/>
          <w:szCs w:val="32"/>
        </w:rPr>
        <w:t>.</w:t>
      </w:r>
      <w:r>
        <w:rPr>
          <w:rStyle w:val="25"/>
          <w:rFonts w:ascii="仿宋" w:eastAsia="仿宋" w:hAnsi="仿宋" w:hint="eastAsia"/>
          <w:bCs/>
          <w:sz w:val="32"/>
          <w:szCs w:val="32"/>
        </w:rPr>
        <w:t xml:space="preserve"> 卫生健康（类）行政事业单位医疗（款）其他行政事业单位医疗支出（项）</w:t>
      </w:r>
      <w:r>
        <w:rPr>
          <w:rStyle w:val="25"/>
          <w:rFonts w:ascii="仿宋" w:eastAsia="仿宋" w:hAnsi="仿宋"/>
          <w:bCs/>
          <w:sz w:val="32"/>
          <w:szCs w:val="32"/>
        </w:rPr>
        <w:t>:</w:t>
      </w:r>
      <w:r>
        <w:rPr>
          <w:rStyle w:val="25"/>
          <w:rFonts w:ascii="仿宋" w:eastAsia="仿宋" w:hAnsi="仿宋" w:hint="eastAsia"/>
          <w:bCs/>
          <w:sz w:val="32"/>
          <w:szCs w:val="32"/>
        </w:rPr>
        <w:t>支出决算为6.14万元，完成预算100</w:t>
      </w:r>
      <w:r>
        <w:rPr>
          <w:rStyle w:val="25"/>
          <w:rFonts w:ascii="仿宋" w:eastAsia="仿宋" w:hAnsi="仿宋"/>
          <w:bCs/>
          <w:sz w:val="32"/>
          <w:szCs w:val="32"/>
        </w:rPr>
        <w:t>%</w:t>
      </w:r>
      <w:r>
        <w:rPr>
          <w:rStyle w:val="25"/>
          <w:rFonts w:ascii="仿宋" w:eastAsia="仿宋" w:hAnsi="仿宋" w:hint="eastAsia"/>
          <w:bCs/>
          <w:sz w:val="32"/>
          <w:szCs w:val="32"/>
        </w:rPr>
        <w:t>。</w:t>
      </w:r>
    </w:p>
    <w:p>
      <w:pPr>
        <w:adjustRightInd w:val="0"/>
        <w:ind w:firstLineChars="200" w:firstLine="640"/>
        <w:rPr>
          <w:rStyle w:val="25"/>
          <w:rFonts w:ascii="仿宋" w:eastAsia="仿宋" w:hAnsi="仿宋"/>
          <w:bCs/>
          <w:sz w:val="32"/>
          <w:szCs w:val="32"/>
        </w:rPr>
      </w:pPr>
      <w:r>
        <w:rPr>
          <w:rStyle w:val="25"/>
          <w:rFonts w:ascii="仿宋" w:eastAsia="仿宋" w:hAnsi="仿宋" w:hint="eastAsia"/>
          <w:bCs/>
          <w:sz w:val="32"/>
          <w:szCs w:val="32"/>
        </w:rPr>
        <w:t>15. 卫生健康（类）其他卫生健康支出（款）其他卫生健康支出（项）</w:t>
      </w:r>
      <w:r>
        <w:rPr>
          <w:rStyle w:val="25"/>
          <w:rFonts w:ascii="仿宋" w:eastAsia="仿宋" w:hAnsi="仿宋"/>
          <w:bCs/>
          <w:sz w:val="32"/>
          <w:szCs w:val="32"/>
        </w:rPr>
        <w:t>:</w:t>
      </w:r>
      <w:r>
        <w:rPr>
          <w:rStyle w:val="25"/>
          <w:rFonts w:ascii="仿宋" w:eastAsia="仿宋" w:hAnsi="仿宋" w:hint="eastAsia"/>
          <w:bCs/>
          <w:sz w:val="32"/>
          <w:szCs w:val="32"/>
        </w:rPr>
        <w:t>支出决算为1.15万元，完成预算100</w:t>
      </w:r>
      <w:r>
        <w:rPr>
          <w:rStyle w:val="25"/>
          <w:rFonts w:ascii="仿宋" w:eastAsia="仿宋" w:hAnsi="仿宋"/>
          <w:bCs/>
          <w:sz w:val="32"/>
          <w:szCs w:val="32"/>
        </w:rPr>
        <w:t>%</w:t>
      </w:r>
      <w:r>
        <w:rPr>
          <w:rStyle w:val="25"/>
          <w:rFonts w:ascii="仿宋" w:eastAsia="仿宋" w:hAnsi="仿宋" w:hint="eastAsia"/>
          <w:bCs/>
          <w:sz w:val="32"/>
          <w:szCs w:val="32"/>
        </w:rPr>
        <w:t>。</w:t>
      </w:r>
    </w:p>
    <w:p>
      <w:pPr>
        <w:adjustRightInd w:val="0"/>
        <w:ind w:firstLineChars="200" w:firstLine="640"/>
        <w:rPr>
          <w:rStyle w:val="25"/>
          <w:rFonts w:ascii="仿宋" w:eastAsia="仿宋" w:hAnsi="仿宋"/>
          <w:b w:val="0"/>
          <w:bCs/>
          <w:sz w:val="32"/>
          <w:szCs w:val="32"/>
        </w:rPr>
      </w:pPr>
      <w:r>
        <w:rPr>
          <w:rStyle w:val="25"/>
          <w:rFonts w:ascii="仿宋" w:eastAsia="仿宋" w:hAnsi="仿宋" w:hint="eastAsia"/>
          <w:bCs/>
          <w:sz w:val="32"/>
          <w:szCs w:val="32"/>
        </w:rPr>
        <w:t>16.农林水支出（类）农业农村（款）其他农业农村支出（项）</w:t>
      </w:r>
      <w:r>
        <w:rPr>
          <w:rStyle w:val="25"/>
          <w:rFonts w:ascii="仿宋" w:eastAsia="仿宋" w:hAnsi="仿宋"/>
          <w:bCs/>
          <w:sz w:val="32"/>
          <w:szCs w:val="32"/>
        </w:rPr>
        <w:t>:</w:t>
      </w:r>
      <w:r>
        <w:rPr>
          <w:rStyle w:val="25"/>
          <w:rFonts w:ascii="仿宋" w:eastAsia="仿宋" w:hAnsi="仿宋" w:hint="eastAsia"/>
          <w:bCs/>
          <w:sz w:val="32"/>
          <w:szCs w:val="32"/>
        </w:rPr>
        <w:t>支出决算为11.52万元，完成预算100</w:t>
      </w:r>
      <w:r>
        <w:rPr>
          <w:rStyle w:val="25"/>
          <w:rFonts w:ascii="仿宋" w:eastAsia="仿宋" w:hAnsi="仿宋"/>
          <w:bCs/>
          <w:sz w:val="32"/>
          <w:szCs w:val="32"/>
        </w:rPr>
        <w:t>%</w:t>
      </w:r>
      <w:r>
        <w:rPr>
          <w:rStyle w:val="25"/>
          <w:rFonts w:ascii="仿宋" w:eastAsia="仿宋" w:hAnsi="仿宋" w:hint="eastAsia"/>
          <w:bCs/>
          <w:sz w:val="32"/>
          <w:szCs w:val="32"/>
        </w:rPr>
        <w:t>。</w:t>
      </w:r>
    </w:p>
    <w:p>
      <w:pPr>
        <w:adjustRightInd w:val="0"/>
        <w:ind w:firstLineChars="200" w:firstLine="640"/>
        <w:rPr>
          <w:rStyle w:val="25"/>
          <w:rFonts w:ascii="仿宋" w:eastAsia="仿宋" w:hAnsi="仿宋"/>
          <w:bCs/>
          <w:sz w:val="32"/>
          <w:szCs w:val="32"/>
        </w:rPr>
      </w:pPr>
      <w:r>
        <w:rPr>
          <w:rStyle w:val="25"/>
          <w:rFonts w:ascii="仿宋" w:eastAsia="仿宋" w:hAnsi="仿宋" w:hint="eastAsia"/>
          <w:bCs/>
          <w:sz w:val="32"/>
          <w:szCs w:val="32"/>
        </w:rPr>
        <w:t>17.资源勘探工业信息等支出（类）支持中小企业发展和管理支出（款）其他支持中小企业发展和管理支出（项）：支出决算为16.92万元，完成预算100%。</w:t>
      </w:r>
    </w:p>
    <w:p>
      <w:pPr>
        <w:adjustRightInd w:val="0"/>
        <w:ind w:firstLineChars="200" w:firstLine="640"/>
        <w:rPr>
          <w:rStyle w:val="25"/>
          <w:rFonts w:ascii="仿宋" w:eastAsia="仿宋" w:hAnsi="仿宋"/>
          <w:b w:val="0"/>
          <w:bCs/>
          <w:sz w:val="32"/>
          <w:szCs w:val="32"/>
        </w:rPr>
      </w:pPr>
      <w:r>
        <w:rPr>
          <w:rStyle w:val="25"/>
          <w:rFonts w:ascii="仿宋" w:eastAsia="仿宋" w:hAnsi="仿宋" w:hint="eastAsia"/>
          <w:bCs/>
          <w:sz w:val="32"/>
          <w:szCs w:val="32"/>
        </w:rPr>
        <w:t>18.商业服务业等支出（类）商业流通事物（款）行政运行（项）</w:t>
      </w:r>
      <w:r>
        <w:rPr>
          <w:rStyle w:val="25"/>
          <w:rFonts w:ascii="仿宋" w:eastAsia="仿宋" w:hAnsi="仿宋"/>
          <w:bCs/>
          <w:sz w:val="32"/>
          <w:szCs w:val="32"/>
        </w:rPr>
        <w:t>:</w:t>
      </w:r>
      <w:r>
        <w:rPr>
          <w:rStyle w:val="25"/>
          <w:rFonts w:ascii="仿宋" w:eastAsia="仿宋" w:hAnsi="仿宋" w:hint="eastAsia"/>
          <w:bCs/>
          <w:sz w:val="32"/>
          <w:szCs w:val="32"/>
        </w:rPr>
        <w:t>支出决算为0.89万元，完成预算100</w:t>
      </w:r>
      <w:r>
        <w:rPr>
          <w:rStyle w:val="25"/>
          <w:rFonts w:ascii="仿宋" w:eastAsia="仿宋" w:hAnsi="仿宋"/>
          <w:bCs/>
          <w:sz w:val="32"/>
          <w:szCs w:val="32"/>
        </w:rPr>
        <w:t>%</w:t>
      </w:r>
      <w:r>
        <w:rPr>
          <w:rStyle w:val="25"/>
          <w:rFonts w:ascii="仿宋" w:eastAsia="仿宋" w:hAnsi="仿宋" w:hint="eastAsia"/>
          <w:bCs/>
          <w:sz w:val="32"/>
          <w:szCs w:val="32"/>
        </w:rPr>
        <w:t>。</w:t>
      </w:r>
    </w:p>
    <w:p>
      <w:pPr>
        <w:adjustRightInd w:val="0"/>
        <w:ind w:firstLineChars="200" w:firstLine="640"/>
        <w:rPr>
          <w:rStyle w:val="25"/>
          <w:rFonts w:ascii="仿宋" w:eastAsia="仿宋" w:hAnsi="仿宋"/>
          <w:b w:val="0"/>
          <w:bCs/>
          <w:sz w:val="32"/>
          <w:szCs w:val="32"/>
        </w:rPr>
      </w:pPr>
      <w:r>
        <w:rPr>
          <w:rStyle w:val="25"/>
          <w:rFonts w:ascii="仿宋" w:eastAsia="仿宋" w:hAnsi="仿宋" w:hint="eastAsia"/>
          <w:bCs/>
          <w:sz w:val="32"/>
          <w:szCs w:val="32"/>
        </w:rPr>
        <w:t>19.商业服务业等支出（类）商业流通事物（款）其他商业流通事物支出（项）</w:t>
      </w:r>
      <w:r>
        <w:rPr>
          <w:rStyle w:val="25"/>
          <w:rFonts w:ascii="仿宋" w:eastAsia="仿宋" w:hAnsi="仿宋"/>
          <w:bCs/>
          <w:sz w:val="32"/>
          <w:szCs w:val="32"/>
        </w:rPr>
        <w:t>:</w:t>
      </w:r>
      <w:r>
        <w:rPr>
          <w:rStyle w:val="25"/>
          <w:rFonts w:ascii="仿宋" w:eastAsia="仿宋" w:hAnsi="仿宋" w:hint="eastAsia"/>
          <w:bCs/>
          <w:sz w:val="32"/>
          <w:szCs w:val="32"/>
        </w:rPr>
        <w:t>支出决算为14.83万元，完成预算100</w:t>
      </w:r>
      <w:r>
        <w:rPr>
          <w:rStyle w:val="25"/>
          <w:rFonts w:ascii="仿宋" w:eastAsia="仿宋" w:hAnsi="仿宋"/>
          <w:bCs/>
          <w:sz w:val="32"/>
          <w:szCs w:val="32"/>
        </w:rPr>
        <w:t>%</w:t>
      </w:r>
      <w:r>
        <w:rPr>
          <w:rStyle w:val="25"/>
          <w:rFonts w:ascii="仿宋" w:eastAsia="仿宋" w:hAnsi="仿宋" w:hint="eastAsia"/>
          <w:bCs/>
          <w:sz w:val="32"/>
          <w:szCs w:val="32"/>
        </w:rPr>
        <w:t>。</w:t>
      </w:r>
    </w:p>
    <w:p>
      <w:pPr>
        <w:adjustRightInd w:val="0"/>
        <w:ind w:firstLineChars="200" w:firstLine="640"/>
        <w:rPr>
          <w:rStyle w:val="25"/>
          <w:rFonts w:ascii="仿宋" w:eastAsia="仿宋" w:hAnsi="仿宋"/>
          <w:b w:val="0"/>
          <w:bCs/>
          <w:sz w:val="32"/>
          <w:szCs w:val="32"/>
        </w:rPr>
      </w:pPr>
      <w:r>
        <w:rPr>
          <w:rStyle w:val="25"/>
          <w:rFonts w:ascii="仿宋" w:eastAsia="仿宋" w:hAnsi="仿宋" w:hint="eastAsia"/>
          <w:bCs/>
          <w:sz w:val="32"/>
          <w:szCs w:val="32"/>
        </w:rPr>
        <w:t>20.商业服务业等支出（类）涉外发展服务支出（款）其他涉外发展服务支出（项）</w:t>
      </w:r>
      <w:r>
        <w:rPr>
          <w:rStyle w:val="25"/>
          <w:rFonts w:ascii="仿宋" w:eastAsia="仿宋" w:hAnsi="仿宋"/>
          <w:bCs/>
          <w:sz w:val="32"/>
          <w:szCs w:val="32"/>
        </w:rPr>
        <w:t>:</w:t>
      </w:r>
      <w:r>
        <w:rPr>
          <w:rStyle w:val="25"/>
          <w:rFonts w:ascii="仿宋" w:eastAsia="仿宋" w:hAnsi="仿宋" w:hint="eastAsia"/>
          <w:bCs/>
          <w:sz w:val="32"/>
          <w:szCs w:val="32"/>
        </w:rPr>
        <w:t>支出决算为16.8万元，完成预算100</w:t>
      </w:r>
      <w:r>
        <w:rPr>
          <w:rStyle w:val="25"/>
          <w:rFonts w:ascii="仿宋" w:eastAsia="仿宋" w:hAnsi="仿宋"/>
          <w:bCs/>
          <w:sz w:val="32"/>
          <w:szCs w:val="32"/>
        </w:rPr>
        <w:t>%</w:t>
      </w:r>
      <w:r>
        <w:rPr>
          <w:rStyle w:val="25"/>
          <w:rFonts w:ascii="仿宋" w:eastAsia="仿宋" w:hAnsi="仿宋" w:hint="eastAsia"/>
          <w:bCs/>
          <w:sz w:val="32"/>
          <w:szCs w:val="32"/>
        </w:rPr>
        <w:t>。</w:t>
      </w:r>
    </w:p>
    <w:p>
      <w:pPr>
        <w:adjustRightInd w:val="0"/>
        <w:ind w:firstLineChars="200" w:firstLine="640"/>
        <w:rPr>
          <w:rStyle w:val="25"/>
          <w:rFonts w:ascii="仿宋" w:eastAsia="仿宋" w:hAnsi="仿宋"/>
          <w:b w:val="0"/>
          <w:bCs/>
          <w:sz w:val="32"/>
          <w:szCs w:val="32"/>
        </w:rPr>
      </w:pPr>
      <w:r>
        <w:rPr>
          <w:rStyle w:val="25"/>
          <w:rFonts w:ascii="仿宋" w:eastAsia="仿宋" w:hAnsi="仿宋" w:hint="eastAsia"/>
          <w:bCs/>
          <w:sz w:val="32"/>
          <w:szCs w:val="32"/>
        </w:rPr>
        <w:t>21.商业服务业等支出（类）其他商业服务业等支出（款）其他商业服务业等支出（项）</w:t>
      </w:r>
      <w:r>
        <w:rPr>
          <w:rStyle w:val="25"/>
          <w:rFonts w:ascii="仿宋" w:eastAsia="仿宋" w:hAnsi="仿宋"/>
          <w:bCs/>
          <w:sz w:val="32"/>
          <w:szCs w:val="32"/>
        </w:rPr>
        <w:t>:</w:t>
      </w:r>
      <w:r>
        <w:rPr>
          <w:rStyle w:val="25"/>
          <w:rFonts w:ascii="仿宋" w:eastAsia="仿宋" w:hAnsi="仿宋" w:hint="eastAsia"/>
          <w:bCs/>
          <w:sz w:val="32"/>
          <w:szCs w:val="32"/>
        </w:rPr>
        <w:t>支出决算为727.05万元，完成预算100</w:t>
      </w:r>
      <w:r>
        <w:rPr>
          <w:rStyle w:val="25"/>
          <w:rFonts w:ascii="仿宋" w:eastAsia="仿宋" w:hAnsi="仿宋"/>
          <w:bCs/>
          <w:sz w:val="32"/>
          <w:szCs w:val="32"/>
        </w:rPr>
        <w:t>%</w:t>
      </w:r>
      <w:r>
        <w:rPr>
          <w:rStyle w:val="25"/>
          <w:rFonts w:ascii="仿宋" w:eastAsia="仿宋" w:hAnsi="仿宋" w:hint="eastAsia"/>
          <w:bCs/>
          <w:sz w:val="32"/>
          <w:szCs w:val="32"/>
        </w:rPr>
        <w:t>。</w:t>
      </w:r>
    </w:p>
    <w:p>
      <w:pPr>
        <w:adjustRightInd w:val="0"/>
        <w:ind w:firstLineChars="200" w:firstLine="640"/>
        <w:rPr>
          <w:rStyle w:val="25"/>
          <w:rFonts w:ascii="仿宋" w:eastAsia="仿宋" w:hAnsi="仿宋"/>
          <w:b w:val="0"/>
          <w:bCs/>
          <w:sz w:val="32"/>
          <w:szCs w:val="32"/>
        </w:rPr>
      </w:pPr>
      <w:r>
        <w:rPr>
          <w:rStyle w:val="25"/>
          <w:rFonts w:ascii="仿宋" w:eastAsia="仿宋" w:hAnsi="仿宋" w:hint="eastAsia"/>
          <w:bCs/>
          <w:sz w:val="32"/>
          <w:szCs w:val="32"/>
        </w:rPr>
        <w:t>22</w:t>
      </w:r>
      <w:r>
        <w:rPr>
          <w:rStyle w:val="25"/>
          <w:rFonts w:ascii="仿宋" w:eastAsia="仿宋" w:hAnsi="仿宋"/>
          <w:bCs/>
          <w:sz w:val="32"/>
          <w:szCs w:val="32"/>
        </w:rPr>
        <w:t>.</w:t>
      </w:r>
      <w:r>
        <w:rPr>
          <w:rStyle w:val="25"/>
          <w:rFonts w:ascii="仿宋" w:eastAsia="仿宋" w:hAnsi="仿宋" w:hint="eastAsia"/>
          <w:bCs/>
          <w:sz w:val="32"/>
          <w:szCs w:val="32"/>
        </w:rPr>
        <w:t>住房保障支出（类）住房改革支出（款）住房公积金（项）</w:t>
      </w:r>
      <w:r>
        <w:rPr>
          <w:rStyle w:val="25"/>
          <w:rFonts w:ascii="仿宋" w:eastAsia="仿宋" w:hAnsi="仿宋"/>
          <w:bCs/>
          <w:sz w:val="32"/>
          <w:szCs w:val="32"/>
        </w:rPr>
        <w:t>:</w:t>
      </w:r>
      <w:r>
        <w:rPr>
          <w:rStyle w:val="25"/>
          <w:rFonts w:ascii="仿宋" w:eastAsia="仿宋" w:hAnsi="仿宋" w:hint="eastAsia"/>
          <w:bCs/>
          <w:sz w:val="32"/>
          <w:szCs w:val="32"/>
        </w:rPr>
        <w:t>支出决算为75.98万元，完成预算100</w:t>
      </w:r>
      <w:r>
        <w:rPr>
          <w:rStyle w:val="25"/>
          <w:rFonts w:ascii="仿宋" w:eastAsia="仿宋" w:hAnsi="仿宋"/>
          <w:bCs/>
          <w:sz w:val="32"/>
          <w:szCs w:val="32"/>
        </w:rPr>
        <w:t>%</w:t>
      </w:r>
      <w:r>
        <w:rPr>
          <w:rStyle w:val="25"/>
          <w:rFonts w:ascii="仿宋" w:eastAsia="仿宋" w:hAnsi="仿宋" w:hint="eastAsia"/>
          <w:bCs/>
          <w:sz w:val="32"/>
          <w:szCs w:val="32"/>
        </w:rPr>
        <w:t>。</w:t>
      </w:r>
    </w:p>
    <w:p>
      <w:pPr>
        <w:adjustRightInd w:val="0"/>
        <w:ind w:firstLineChars="200" w:firstLine="640"/>
        <w:rPr>
          <w:rStyle w:val="25"/>
          <w:rFonts w:ascii="仿宋" w:eastAsia="仿宋" w:hAnsi="仿宋"/>
          <w:b w:val="0"/>
          <w:bCs/>
          <w:sz w:val="32"/>
          <w:szCs w:val="32"/>
        </w:rPr>
      </w:pPr>
      <w:r>
        <w:rPr>
          <w:rStyle w:val="25"/>
          <w:rFonts w:ascii="仿宋" w:eastAsia="仿宋" w:hAnsi="仿宋" w:hint="eastAsia"/>
          <w:bCs/>
          <w:sz w:val="32"/>
          <w:szCs w:val="32"/>
        </w:rPr>
        <w:t>23.粮油物资储备支出（类）重要商品储备（款）肉类储备（项）</w:t>
      </w:r>
      <w:r>
        <w:rPr>
          <w:rStyle w:val="25"/>
          <w:rFonts w:ascii="仿宋" w:eastAsia="仿宋" w:hAnsi="仿宋"/>
          <w:bCs/>
          <w:sz w:val="32"/>
          <w:szCs w:val="32"/>
        </w:rPr>
        <w:t>:</w:t>
      </w:r>
      <w:r>
        <w:rPr>
          <w:rStyle w:val="25"/>
          <w:rFonts w:ascii="仿宋" w:eastAsia="仿宋" w:hAnsi="仿宋" w:hint="eastAsia"/>
          <w:bCs/>
          <w:sz w:val="32"/>
          <w:szCs w:val="32"/>
        </w:rPr>
        <w:t>支出决算为24万元，完成预算100</w:t>
      </w:r>
      <w:r>
        <w:rPr>
          <w:rStyle w:val="25"/>
          <w:rFonts w:ascii="仿宋" w:eastAsia="仿宋" w:hAnsi="仿宋"/>
          <w:bCs/>
          <w:sz w:val="32"/>
          <w:szCs w:val="32"/>
        </w:rPr>
        <w:t>%</w:t>
      </w:r>
      <w:r>
        <w:rPr>
          <w:rStyle w:val="25"/>
          <w:rFonts w:ascii="仿宋" w:eastAsia="仿宋" w:hAnsi="仿宋" w:hint="eastAsia"/>
          <w:bCs/>
          <w:sz w:val="32"/>
          <w:szCs w:val="32"/>
        </w:rPr>
        <w:t>。</w:t>
      </w:r>
    </w:p>
    <w:p>
      <w:pPr>
        <w:tabs>
          <w:tab w:val="right" w:pos="8306"/>
        </w:tabs>
        <w:ind w:firstLine="640"/>
        <w:outlineLvl w:val="1"/>
        <w:rPr>
          <w:rStyle w:val="2Char"/>
        </w:rPr>
      </w:pPr>
      <w:bookmarkStart w:id="69" w:name="_Toc15377214"/>
      <w:bookmarkStart w:id="70" w:name="_Toc15396608"/>
      <w:bookmarkStart w:id="71" w:name="_Toc176942323"/>
      <w:bookmarkStart w:id="72" w:name="_Toc17694246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69"/>
      <w:bookmarkEnd w:id="70"/>
      <w:bookmarkEnd w:id="71"/>
      <w:bookmarkEnd w:id="72"/>
      <w:r>
        <w:rPr>
          <w:rStyle w:val="2Char"/>
          <w:rFonts w:ascii="黑体" w:eastAsia="黑体" w:hAnsi="黑体"/>
          <w:b w:val="0"/>
        </w:rPr>
        <w:tab/>
      </w:r>
    </w:p>
    <w:p>
      <w:pPr>
        <w:ind w:firstLine="645"/>
        <w:rPr>
          <w:rFonts w:ascii="仿宋" w:eastAsia="仿宋" w:hAnsi="仿宋"/>
          <w:sz w:val="32"/>
          <w:szCs w:val="32"/>
        </w:rPr>
      </w:pPr>
      <w:r>
        <w:rPr>
          <w:rFonts w:ascii="仿宋" w:eastAsia="仿宋" w:hAnsi="仿宋" w:hint="eastAsia"/>
          <w:sz w:val="32"/>
          <w:szCs w:val="32"/>
        </w:rPr>
        <w:t>2023年度一般公共预算财政拨款基本支出</w:t>
      </w:r>
      <w:r>
        <w:rPr>
          <w:rFonts w:ascii="仿宋" w:eastAsia="仿宋" w:hAnsi="仿宋"/>
          <w:b/>
          <w:sz w:val="32"/>
          <w:szCs w:val="32"/>
        </w:rPr>
        <w:t>1773.64</w:t>
      </w:r>
      <w:r>
        <w:rPr>
          <w:rFonts w:ascii="仿宋" w:eastAsia="仿宋" w:hAnsi="仿宋" w:hint="eastAsia"/>
          <w:sz w:val="32"/>
          <w:szCs w:val="32"/>
        </w:rPr>
        <w:t>万元，其中：</w:t>
      </w:r>
    </w:p>
    <w:p>
      <w:pPr>
        <w:ind w:firstLine="645"/>
        <w:rPr>
          <w:rFonts w:ascii="仿宋" w:eastAsia="仿宋" w:hAnsi="仿宋"/>
          <w:sz w:val="32"/>
          <w:szCs w:val="32"/>
        </w:rPr>
      </w:pPr>
      <w:r>
        <w:rPr>
          <w:rFonts w:ascii="仿宋" w:eastAsia="仿宋" w:hAnsi="仿宋" w:hint="eastAsia"/>
          <w:sz w:val="32"/>
          <w:szCs w:val="32"/>
        </w:rPr>
        <w:t>人员经费</w:t>
      </w:r>
      <w:r>
        <w:rPr>
          <w:rFonts w:ascii="仿宋" w:eastAsia="仿宋" w:hAnsi="仿宋"/>
          <w:b/>
          <w:sz w:val="32"/>
          <w:szCs w:val="32"/>
        </w:rPr>
        <w:t>1606.63</w:t>
      </w:r>
      <w:r>
        <w:rPr>
          <w:rFonts w:ascii="仿宋" w:eastAsia="仿宋" w:hAnsi="仿宋" w:hint="eastAsia"/>
          <w:sz w:val="32"/>
          <w:szCs w:val="32"/>
        </w:rPr>
        <w:t>万元，主要包括：基本工资、津贴补贴、奖金、绩效工资、机关事业单位基本养老保险缴费、职工基本医疗保险缴费、公务员医疗补助缴费、其他社会保障缴费、其他工资福利支出、离休费、退休费、抚恤金、生活补助、医疗费补助、奖励金、住房公积金、其他对个人和家庭的补助支出等。</w:t>
      </w:r>
      <w:r>
        <w:rPr>
          <w:rFonts w:ascii="仿宋" w:eastAsia="仿宋" w:hAnsi="仿宋"/>
          <w:sz w:val="32"/>
          <w:szCs w:val="32"/>
        </w:rPr>
        <w:br/>
      </w:r>
      <w:r>
        <w:rPr>
          <w:rFonts w:ascii="仿宋" w:eastAsia="仿宋" w:hAnsi="仿宋" w:hint="eastAsia"/>
          <w:sz w:val="32"/>
          <w:szCs w:val="32"/>
        </w:rPr>
        <w:t>　　公用经费</w:t>
      </w:r>
      <w:r>
        <w:rPr>
          <w:rFonts w:ascii="仿宋" w:eastAsia="仿宋" w:hAnsi="仿宋"/>
          <w:b/>
          <w:sz w:val="32"/>
          <w:szCs w:val="32"/>
        </w:rPr>
        <w:t>167.01</w:t>
      </w:r>
      <w:r>
        <w:rPr>
          <w:rFonts w:ascii="仿宋" w:eastAsia="仿宋" w:hAnsi="仿宋" w:hint="eastAsia"/>
          <w:sz w:val="32"/>
          <w:szCs w:val="32"/>
        </w:rPr>
        <w:t>万元，主要包括：办公费、水费、电费、邮电费、物业管理费、差旅费、维修（护）费、会议费、培训费、公务接待费、劳务费、委托业务费、工会经费、福利费、公务用车运行维护费、其他交通费、其他商品和服务支出等。</w:t>
      </w:r>
    </w:p>
    <w:p>
      <w:pPr>
        <w:ind w:firstLine="640"/>
        <w:outlineLvl w:val="1"/>
        <w:rPr>
          <w:rStyle w:val="2Char"/>
          <w:rFonts w:ascii="黑体" w:eastAsia="黑体" w:hAnsi="黑体"/>
          <w:b w:val="0"/>
        </w:rPr>
      </w:pPr>
      <w:bookmarkStart w:id="73" w:name="_Toc15377215"/>
      <w:bookmarkStart w:id="74" w:name="_Toc15396609"/>
      <w:bookmarkStart w:id="75" w:name="_Toc176942324"/>
      <w:bookmarkStart w:id="76" w:name="_Toc176942465"/>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73"/>
      <w:bookmarkEnd w:id="74"/>
      <w:bookmarkEnd w:id="75"/>
      <w:bookmarkEnd w:id="76"/>
    </w:p>
    <w:p>
      <w:pPr>
        <w:ind w:firstLine="640"/>
        <w:outlineLvl w:val="2"/>
        <w:rPr>
          <w:rFonts w:ascii="仿宋" w:eastAsia="仿宋" w:hAnsi="仿宋"/>
          <w:b/>
          <w:sz w:val="32"/>
          <w:szCs w:val="32"/>
        </w:rPr>
      </w:pPr>
      <w:bookmarkStart w:id="77" w:name="_Toc15377216"/>
      <w:bookmarkStart w:id="78" w:name="_Toc176942325"/>
      <w:bookmarkStart w:id="79" w:name="_Toc176942466"/>
      <w:r>
        <w:rPr>
          <w:rFonts w:ascii="仿宋" w:eastAsia="仿宋" w:hAnsi="仿宋" w:hint="eastAsia"/>
          <w:b/>
          <w:sz w:val="32"/>
          <w:szCs w:val="32"/>
        </w:rPr>
        <w:t>（一）“三公”经费财政拨款支出决算总体情况说明</w:t>
      </w:r>
      <w:bookmarkEnd w:id="77"/>
      <w:bookmarkEnd w:id="78"/>
      <w:bookmarkEnd w:id="79"/>
    </w:p>
    <w:p>
      <w:pPr>
        <w:adjustRightInd w:val="0"/>
        <w:ind w:firstLine="640"/>
        <w:rPr>
          <w:rFonts w:ascii="仿宋" w:eastAsia="仿宋" w:hAnsi="仿宋"/>
          <w:sz w:val="32"/>
          <w:szCs w:val="32"/>
        </w:rPr>
      </w:pPr>
      <w:r>
        <w:rPr>
          <w:rFonts w:ascii="仿宋" w:eastAsia="仿宋" w:hAnsi="仿宋" w:hint="eastAsia"/>
          <w:sz w:val="32"/>
          <w:szCs w:val="32"/>
        </w:rPr>
        <w:t>2023年度“三公”经费财政拨款支出决算为</w:t>
      </w:r>
      <w:r>
        <w:rPr>
          <w:rFonts w:ascii="仿宋" w:eastAsia="仿宋" w:hAnsi="仿宋"/>
          <w:b/>
          <w:sz w:val="32"/>
          <w:szCs w:val="32"/>
        </w:rPr>
        <w:t>3.84</w:t>
      </w:r>
      <w:r>
        <w:rPr>
          <w:rFonts w:ascii="仿宋" w:eastAsia="仿宋" w:hAnsi="仿宋" w:hint="eastAsia"/>
          <w:sz w:val="32"/>
          <w:szCs w:val="32"/>
        </w:rPr>
        <w:t>万元，完成预算</w:t>
      </w:r>
      <w:r>
        <w:rPr>
          <w:rFonts w:ascii="仿宋" w:eastAsia="仿宋" w:hAnsi="仿宋"/>
          <w:b/>
          <w:sz w:val="32"/>
          <w:szCs w:val="32"/>
        </w:rPr>
        <w:t>68.39</w:t>
      </w:r>
      <w:r>
        <w:rPr>
          <w:rFonts w:ascii="仿宋" w:eastAsia="仿宋" w:hAnsi="仿宋"/>
          <w:sz w:val="32"/>
          <w:szCs w:val="32"/>
        </w:rPr>
        <w:t>%</w:t>
      </w:r>
      <w:r>
        <w:rPr>
          <w:rFonts w:ascii="仿宋" w:eastAsia="仿宋" w:hAnsi="仿宋" w:hint="eastAsia"/>
          <w:sz w:val="32"/>
          <w:szCs w:val="32"/>
        </w:rPr>
        <w:t>，较上年度减少1.64万元，下降29.92%。决算数小于预算数的主要原因是公务接待批次及人次未达到预算数。</w:t>
      </w:r>
    </w:p>
    <w:p>
      <w:pPr>
        <w:ind w:firstLine="640"/>
        <w:outlineLvl w:val="2"/>
        <w:rPr>
          <w:rFonts w:ascii="仿宋" w:eastAsia="仿宋" w:hAnsi="仿宋"/>
          <w:b/>
          <w:sz w:val="32"/>
          <w:szCs w:val="32"/>
        </w:rPr>
      </w:pPr>
      <w:bookmarkStart w:id="80" w:name="_Toc15377217"/>
      <w:bookmarkStart w:id="81" w:name="_Toc176942326"/>
      <w:bookmarkStart w:id="82" w:name="_Toc176942467"/>
      <w:r>
        <w:rPr>
          <w:rFonts w:ascii="仿宋" w:eastAsia="仿宋" w:hAnsi="仿宋" w:hint="eastAsia"/>
          <w:b/>
          <w:sz w:val="32"/>
          <w:szCs w:val="32"/>
        </w:rPr>
        <w:t>（二）“三公”经费财政拨款支出决算具体情况说明</w:t>
      </w:r>
      <w:bookmarkEnd w:id="80"/>
      <w:bookmarkEnd w:id="81"/>
      <w:bookmarkEnd w:id="82"/>
    </w:p>
    <w:p>
      <w:pPr>
        <w:ind w:firstLine="640"/>
        <w:rPr>
          <w:rFonts w:ascii="仿宋" w:eastAsia="仿宋" w:hAnsi="仿宋"/>
          <w:sz w:val="32"/>
          <w:szCs w:val="32"/>
        </w:rPr>
      </w:pPr>
      <w:r>
        <w:rPr>
          <w:rFonts w:ascii="仿宋" w:eastAsia="仿宋" w:hAnsi="仿宋" w:hint="eastAsia"/>
          <w:sz w:val="32"/>
          <w:szCs w:val="32"/>
        </w:rPr>
        <w:t>2023年度“三公”经费财政拨款支出决算中，因公出国（境）费支出决算</w:t>
      </w:r>
      <w:r>
        <w:rPr>
          <w:rFonts w:ascii="仿宋" w:eastAsia="仿宋" w:hAnsi="仿宋"/>
          <w:b/>
          <w:sz w:val="32"/>
          <w:szCs w:val="32"/>
        </w:rPr>
        <w:t>0</w:t>
      </w:r>
      <w:r>
        <w:rPr>
          <w:rFonts w:ascii="仿宋" w:eastAsia="仿宋" w:hAnsi="仿宋" w:hint="eastAsia"/>
          <w:sz w:val="32"/>
          <w:szCs w:val="32"/>
        </w:rPr>
        <w:t>万元，占</w:t>
      </w:r>
      <w:r>
        <w:rPr>
          <w:rFonts w:ascii="仿宋" w:eastAsia="仿宋" w:hAnsi="仿宋"/>
          <w:b/>
          <w:sz w:val="32"/>
          <w:szCs w:val="32"/>
        </w:rPr>
        <w:t>0</w:t>
      </w:r>
      <w:r>
        <w:rPr>
          <w:rFonts w:ascii="仿宋" w:eastAsia="仿宋" w:hAnsi="仿宋"/>
          <w:sz w:val="32"/>
          <w:szCs w:val="32"/>
        </w:rPr>
        <w:t>%</w:t>
      </w:r>
      <w:r>
        <w:rPr>
          <w:rFonts w:ascii="仿宋" w:eastAsia="仿宋" w:hAnsi="仿宋" w:hint="eastAsia"/>
          <w:sz w:val="32"/>
          <w:szCs w:val="32"/>
        </w:rPr>
        <w:t>；公务用车购置及运行维护费支出决算</w:t>
      </w:r>
      <w:r>
        <w:rPr>
          <w:rFonts w:ascii="仿宋" w:eastAsia="仿宋" w:hAnsi="仿宋"/>
          <w:b/>
          <w:sz w:val="32"/>
          <w:szCs w:val="32"/>
        </w:rPr>
        <w:t>2.92</w:t>
      </w:r>
      <w:r>
        <w:rPr>
          <w:rFonts w:ascii="仿宋" w:eastAsia="仿宋" w:hAnsi="仿宋" w:hint="eastAsia"/>
          <w:sz w:val="32"/>
          <w:szCs w:val="32"/>
        </w:rPr>
        <w:t>万元，占</w:t>
      </w:r>
      <w:r>
        <w:rPr>
          <w:rFonts w:ascii="仿宋" w:eastAsia="仿宋" w:hAnsi="仿宋"/>
          <w:b/>
          <w:sz w:val="32"/>
          <w:szCs w:val="32"/>
        </w:rPr>
        <w:t>75.96</w:t>
      </w:r>
      <w:r>
        <w:rPr>
          <w:rFonts w:ascii="仿宋" w:eastAsia="仿宋" w:hAnsi="仿宋"/>
          <w:sz w:val="32"/>
          <w:szCs w:val="32"/>
        </w:rPr>
        <w:t>%</w:t>
      </w:r>
      <w:r>
        <w:rPr>
          <w:rFonts w:ascii="仿宋" w:eastAsia="仿宋" w:hAnsi="仿宋" w:hint="eastAsia"/>
          <w:sz w:val="32"/>
          <w:szCs w:val="32"/>
        </w:rPr>
        <w:t>；公务接待费支出决算</w:t>
      </w:r>
      <w:r>
        <w:rPr>
          <w:rFonts w:ascii="仿宋" w:eastAsia="仿宋" w:hAnsi="仿宋"/>
          <w:b/>
          <w:sz w:val="32"/>
          <w:szCs w:val="32"/>
        </w:rPr>
        <w:t>0.92</w:t>
      </w:r>
      <w:r>
        <w:rPr>
          <w:rFonts w:ascii="仿宋" w:eastAsia="仿宋" w:hAnsi="仿宋" w:hint="eastAsia"/>
          <w:sz w:val="32"/>
          <w:szCs w:val="32"/>
        </w:rPr>
        <w:t>万元，占</w:t>
      </w:r>
      <w:r>
        <w:rPr>
          <w:rFonts w:ascii="仿宋" w:eastAsia="仿宋" w:hAnsi="仿宋"/>
          <w:b/>
          <w:sz w:val="32"/>
          <w:szCs w:val="32"/>
        </w:rPr>
        <w:t>24.03</w:t>
      </w:r>
      <w:r>
        <w:rPr>
          <w:rFonts w:ascii="仿宋" w:eastAsia="仿宋" w:hAnsi="仿宋"/>
          <w:sz w:val="32"/>
          <w:szCs w:val="32"/>
        </w:rPr>
        <w:t>%</w:t>
      </w:r>
      <w:r>
        <w:rPr>
          <w:rFonts w:ascii="仿宋" w:eastAsia="仿宋" w:hAnsi="仿宋" w:hint="eastAsia"/>
          <w:sz w:val="32"/>
          <w:szCs w:val="32"/>
        </w:rPr>
        <w:t>。具体情况如下：</w:t>
      </w:r>
    </w:p>
    <w:p>
      <w:pPr>
        <w:ind w:firstLine="640"/>
        <w:rPr>
          <w:rFonts w:ascii="仿宋" w:eastAsia="仿宋" w:hAnsi="仿宋"/>
          <w:sz w:val="32"/>
          <w:szCs w:val="32"/>
        </w:rPr>
      </w:pPr>
      <w:r>
        <w:rPr>
          <w:rFonts w:ascii="仿宋" w:eastAsia="仿宋" w:hAnsi="仿宋" w:hint="eastAsia"/>
          <w:sz w:val="32"/>
          <w:szCs w:val="32"/>
        </w:rPr>
        <w:t>（图7：“三公”经费财政拨款支出结构）（饼状图）</w:t>
      </w:r>
    </w:p>
    <w:p>
      <w:pPr>
        <w:ind w:left="640" w:hangingChars="200" w:hanging="640"/>
        <w:rPr>
          <w:rFonts w:ascii="仿宋_GB2312" w:eastAsia="仿宋_GB2312"/>
          <w:b/>
          <w:sz w:val="32"/>
          <w:szCs w:val="32"/>
        </w:rPr>
      </w:pPr>
      <w:bookmarkStart w:id="83" w:name="_Toc15377218"/>
      <w:bookmarkStart w:id="84" w:name="_Toc15396610"/>
      <w:r>
        <w:rPr>
          <w:rFonts w:ascii="仿宋_GB2312" w:eastAsia="仿宋_GB2312"/>
          <w:b/>
          <w:sz w:val="32"/>
          <w:szCs w:val="32"/>
        </w:rPr>
        <w:drawing>
          <wp:inline distT="0" distB="0" distL="0" distR="0">
            <wp:extent cx="5274310" cy="3076575"/>
            <wp:effectExtent l="19050" t="0" r="21590" b="0"/>
            <wp:docPr id="7" name="图表 8"/>
            <wp:cNvGraphicFramePr>
              <a:graphicFrameLocks noChangeAspect="0"/>
            </wp:cNvGraphicFramePr>
            <a:graphic>
              <a:graphicData uri="http://schemas.openxmlformats.org/drawingml/2006/chart">
                <c:chart xmlns:c="http://schemas.openxmlformats.org/drawingml/2006/chart" r:id="rId10"/>
              </a:graphicData>
            </a:graphic>
          </wp:inline>
        </w:drawing>
      </w:r>
    </w:p>
    <w:p>
      <w:pPr>
        <w:ind w:firstLineChars="200" w:firstLine="640"/>
        <w:rPr>
          <w:rFonts w:ascii="仿宋_GB2312" w:eastAsia="仿宋_GB2312"/>
          <w:sz w:val="32"/>
          <w:szCs w:val="32"/>
        </w:rPr>
      </w:pPr>
      <w:r>
        <w:rPr>
          <w:rFonts w:ascii="仿宋_GB2312" w:eastAsia="仿宋_GB2312" w:hint="eastAsia"/>
          <w:b/>
          <w:sz w:val="32"/>
          <w:szCs w:val="32"/>
        </w:rPr>
        <w:t>1.因公出国（境）经费支出</w:t>
      </w:r>
      <w:r>
        <w:rPr>
          <w:rFonts w:ascii="仿宋" w:eastAsia="仿宋" w:hAnsi="仿宋"/>
          <w:b/>
          <w:sz w:val="32"/>
          <w:szCs w:val="32"/>
        </w:rPr>
        <w:t>0</w:t>
      </w:r>
      <w:r>
        <w:rPr>
          <w:rFonts w:ascii="仿宋_GB2312" w:eastAsia="仿宋_GB2312" w:hint="eastAsia"/>
          <w:sz w:val="32"/>
          <w:szCs w:val="32"/>
        </w:rPr>
        <w:t>万元，</w:t>
      </w:r>
      <w:r>
        <w:rPr>
          <w:rStyle w:val="25"/>
          <w:rFonts w:ascii="仿宋" w:eastAsia="仿宋" w:hAnsi="仿宋" w:hint="eastAsia"/>
          <w:b w:val="0"/>
          <w:bCs/>
          <w:sz w:val="32"/>
          <w:szCs w:val="32"/>
        </w:rPr>
        <w:t>完成预算</w:t>
      </w:r>
      <w:r>
        <w:rPr>
          <w:rStyle w:val="25"/>
          <w:rFonts w:ascii="仿宋" w:eastAsia="仿宋" w:hAnsi="仿宋"/>
          <w:bCs/>
          <w:sz w:val="32"/>
          <w:szCs w:val="32"/>
        </w:rPr>
        <w:t>0</w:t>
      </w:r>
      <w:r>
        <w:rPr>
          <w:rStyle w:val="25"/>
          <w:rFonts w:ascii="仿宋" w:eastAsia="仿宋" w:hAnsi="仿宋"/>
          <w:b w:val="0"/>
          <w:bCs/>
          <w:sz w:val="32"/>
          <w:szCs w:val="32"/>
        </w:rPr>
        <w:t>%</w:t>
      </w:r>
      <w:r>
        <w:rPr>
          <w:rStyle w:val="25"/>
          <w:rFonts w:ascii="仿宋" w:eastAsia="仿宋" w:hAnsi="仿宋" w:hint="eastAsia"/>
          <w:b w:val="0"/>
          <w:bCs/>
          <w:sz w:val="32"/>
          <w:szCs w:val="32"/>
        </w:rPr>
        <w:t>。</w:t>
      </w:r>
      <w:r>
        <w:rPr>
          <w:rFonts w:ascii="仿宋_GB2312" w:eastAsia="仿宋_GB2312" w:hint="eastAsia"/>
          <w:sz w:val="32"/>
          <w:szCs w:val="32"/>
        </w:rPr>
        <w:t>全年安排因公出国（境）团组</w:t>
      </w:r>
      <w:r>
        <w:rPr>
          <w:rFonts w:ascii="仿宋_GB2312" w:eastAsia="仿宋_GB2312"/>
          <w:b/>
          <w:sz w:val="32"/>
          <w:szCs w:val="32"/>
        </w:rPr>
        <w:t>0</w:t>
      </w:r>
      <w:r>
        <w:rPr>
          <w:rFonts w:ascii="仿宋_GB2312" w:eastAsia="仿宋_GB2312" w:hint="eastAsia"/>
          <w:sz w:val="32"/>
          <w:szCs w:val="32"/>
        </w:rPr>
        <w:t>次，出国（境）</w:t>
      </w:r>
      <w:r>
        <w:rPr>
          <w:rFonts w:ascii="仿宋_GB2312" w:eastAsia="仿宋_GB2312"/>
          <w:b/>
          <w:sz w:val="32"/>
          <w:szCs w:val="32"/>
        </w:rPr>
        <w:t>0</w:t>
      </w:r>
      <w:r>
        <w:rPr>
          <w:rFonts w:ascii="仿宋_GB2312" w:eastAsia="仿宋_GB2312" w:hint="eastAsia"/>
          <w:sz w:val="32"/>
          <w:szCs w:val="32"/>
        </w:rPr>
        <w:t>人。</w:t>
      </w:r>
    </w:p>
    <w:p>
      <w:pPr>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 w:eastAsia="仿宋" w:hAnsi="仿宋"/>
          <w:b/>
          <w:sz w:val="32"/>
          <w:szCs w:val="32"/>
        </w:rPr>
        <w:t>2.92</w:t>
      </w:r>
      <w:r>
        <w:rPr>
          <w:rFonts w:ascii="仿宋_GB2312" w:eastAsia="仿宋_GB2312" w:hint="eastAsia"/>
          <w:sz w:val="32"/>
          <w:szCs w:val="32"/>
        </w:rPr>
        <w:t>万元,</w:t>
      </w:r>
      <w:r>
        <w:rPr>
          <w:rStyle w:val="25"/>
          <w:rFonts w:ascii="仿宋" w:eastAsia="仿宋" w:hAnsi="仿宋" w:hint="eastAsia"/>
          <w:b w:val="0"/>
          <w:bCs/>
          <w:sz w:val="32"/>
          <w:szCs w:val="32"/>
        </w:rPr>
        <w:t>完成预算</w:t>
      </w:r>
      <w:r>
        <w:rPr>
          <w:rStyle w:val="25"/>
          <w:rFonts w:ascii="仿宋" w:eastAsia="仿宋" w:hAnsi="仿宋"/>
          <w:bCs/>
          <w:sz w:val="32"/>
          <w:szCs w:val="32"/>
        </w:rPr>
        <w:t>100</w:t>
      </w:r>
      <w:r>
        <w:rPr>
          <w:rStyle w:val="25"/>
          <w:rFonts w:ascii="仿宋" w:eastAsia="仿宋" w:hAnsi="仿宋"/>
          <w:b w:val="0"/>
          <w:bCs/>
          <w:sz w:val="32"/>
          <w:szCs w:val="32"/>
        </w:rPr>
        <w:t>%</w:t>
      </w:r>
      <w:r>
        <w:rPr>
          <w:rStyle w:val="25"/>
          <w:rFonts w:ascii="仿宋" w:eastAsia="仿宋" w:hAnsi="仿宋" w:hint="eastAsia"/>
          <w:b w:val="0"/>
          <w:bCs/>
          <w:sz w:val="32"/>
          <w:szCs w:val="32"/>
        </w:rPr>
        <w:t>。</w:t>
      </w:r>
      <w:r>
        <w:rPr>
          <w:rFonts w:ascii="仿宋_GB2312" w:eastAsia="仿宋_GB2312" w:hint="eastAsia"/>
          <w:sz w:val="32"/>
          <w:szCs w:val="32"/>
        </w:rPr>
        <w:t>公务用车购置及运行维护费支出决算比2022年度减少1.13万元，下降27.9</w:t>
      </w:r>
      <w:r>
        <w:rPr>
          <w:rFonts w:ascii="仿宋_GB2312" w:eastAsia="仿宋_GB2312"/>
          <w:sz w:val="32"/>
          <w:szCs w:val="32"/>
        </w:rPr>
        <w:t>%</w:t>
      </w:r>
      <w:r>
        <w:rPr>
          <w:rFonts w:ascii="仿宋_GB2312" w:eastAsia="仿宋_GB2312" w:hint="eastAsia"/>
          <w:sz w:val="32"/>
          <w:szCs w:val="32"/>
        </w:rPr>
        <w:t>。主要原因是预算压减。</w:t>
      </w:r>
    </w:p>
    <w:p>
      <w:pPr>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 w:eastAsia="仿宋" w:hAnsi="仿宋"/>
          <w:b/>
          <w:sz w:val="32"/>
          <w:szCs w:val="32"/>
        </w:rPr>
        <w:t>0</w:t>
      </w:r>
      <w:r>
        <w:rPr>
          <w:rFonts w:ascii="仿宋_GB2312" w:eastAsia="仿宋_GB2312" w:hint="eastAsia"/>
          <w:sz w:val="32"/>
          <w:szCs w:val="32"/>
        </w:rPr>
        <w:t>万元。全年按规定更新购置公务用车0辆，其中：轿车0辆、金额0万元，越野车0辆、金额0万元，载客汽车0辆、金额0万元0。截至2023年</w:t>
      </w:r>
      <w:r>
        <w:rPr>
          <w:rFonts w:ascii="仿宋_GB2312" w:eastAsia="仿宋_GB2312"/>
          <w:sz w:val="32"/>
          <w:szCs w:val="32"/>
        </w:rPr>
        <w:t>12</w:t>
      </w:r>
      <w:r>
        <w:rPr>
          <w:rFonts w:ascii="仿宋_GB2312" w:eastAsia="仿宋_GB2312" w:hint="eastAsia"/>
          <w:sz w:val="32"/>
          <w:szCs w:val="32"/>
        </w:rPr>
        <w:t>月31日，单位共有公务用车1辆，其中：轿车0辆、越野车1辆、载客汽车0辆。</w:t>
      </w:r>
    </w:p>
    <w:p>
      <w:pPr>
        <w:adjustRightInd w:val="0"/>
        <w:ind w:firstLine="640"/>
        <w:rPr>
          <w:rFonts w:ascii="仿宋" w:eastAsia="仿宋" w:hAnsi="仿宋"/>
          <w:sz w:val="32"/>
          <w:szCs w:val="32"/>
        </w:rPr>
      </w:pPr>
      <w:r>
        <w:rPr>
          <w:rFonts w:ascii="仿宋_GB2312" w:eastAsia="仿宋_GB2312" w:hint="eastAsia"/>
          <w:b/>
          <w:sz w:val="32"/>
          <w:szCs w:val="32"/>
        </w:rPr>
        <w:t>公务用车运行维护费支出</w:t>
      </w:r>
      <w:r>
        <w:rPr>
          <w:rFonts w:ascii="仿宋" w:eastAsia="仿宋" w:hAnsi="仿宋"/>
          <w:b/>
          <w:sz w:val="32"/>
          <w:szCs w:val="32"/>
        </w:rPr>
        <w:t>2.92</w:t>
      </w:r>
      <w:r>
        <w:rPr>
          <w:rFonts w:ascii="仿宋_GB2312" w:eastAsia="仿宋_GB2312" w:hint="eastAsia"/>
          <w:sz w:val="32"/>
          <w:szCs w:val="32"/>
        </w:rPr>
        <w:t>万元。主要用于</w:t>
      </w:r>
      <w:r>
        <w:rPr>
          <w:rFonts w:ascii="仿宋" w:eastAsia="仿宋" w:hAnsi="仿宋" w:hint="eastAsia"/>
          <w:sz w:val="32"/>
          <w:szCs w:val="32"/>
        </w:rPr>
        <w:t>公务出行等所需的公务用车燃料费、维修费、过路过桥费、保险费等支出。</w:t>
      </w:r>
    </w:p>
    <w:p>
      <w:pPr>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 w:eastAsia="仿宋" w:hAnsi="仿宋"/>
          <w:b/>
          <w:sz w:val="32"/>
          <w:szCs w:val="32"/>
        </w:rPr>
        <w:t>0.92</w:t>
      </w:r>
      <w:r>
        <w:rPr>
          <w:rFonts w:ascii="仿宋_GB2312" w:eastAsia="仿宋_GB2312" w:hint="eastAsia"/>
          <w:sz w:val="32"/>
          <w:szCs w:val="32"/>
        </w:rPr>
        <w:t>万元，</w:t>
      </w:r>
      <w:r>
        <w:rPr>
          <w:rStyle w:val="25"/>
          <w:rFonts w:ascii="仿宋" w:eastAsia="仿宋" w:hAnsi="仿宋" w:hint="eastAsia"/>
          <w:b w:val="0"/>
          <w:bCs/>
          <w:sz w:val="32"/>
          <w:szCs w:val="32"/>
        </w:rPr>
        <w:t>完成预算</w:t>
      </w:r>
      <w:r>
        <w:rPr>
          <w:rStyle w:val="25"/>
          <w:rFonts w:ascii="仿宋" w:eastAsia="仿宋" w:hAnsi="仿宋"/>
          <w:b w:val="0"/>
          <w:bCs/>
          <w:sz w:val="32"/>
          <w:szCs w:val="32"/>
        </w:rPr>
        <w:t>34.2%</w:t>
      </w:r>
      <w:r>
        <w:rPr>
          <w:rStyle w:val="25"/>
          <w:rFonts w:ascii="仿宋" w:eastAsia="仿宋" w:hAnsi="仿宋" w:hint="eastAsia"/>
          <w:b w:val="0"/>
          <w:bCs/>
          <w:sz w:val="32"/>
          <w:szCs w:val="32"/>
        </w:rPr>
        <w:t>。</w:t>
      </w:r>
      <w:r>
        <w:rPr>
          <w:rFonts w:ascii="仿宋_GB2312" w:eastAsia="仿宋_GB2312" w:hint="eastAsia"/>
          <w:sz w:val="32"/>
          <w:szCs w:val="32"/>
        </w:rPr>
        <w:t>公务接待费支出决算比2022年度减少0.51万元，下降35.66</w:t>
      </w:r>
      <w:r>
        <w:rPr>
          <w:rFonts w:ascii="仿宋_GB2312" w:eastAsia="仿宋_GB2312"/>
          <w:sz w:val="32"/>
          <w:szCs w:val="32"/>
        </w:rPr>
        <w:t>%</w:t>
      </w:r>
      <w:r>
        <w:rPr>
          <w:rFonts w:ascii="仿宋_GB2312" w:eastAsia="仿宋_GB2312" w:hint="eastAsia"/>
          <w:sz w:val="32"/>
          <w:szCs w:val="32"/>
        </w:rPr>
        <w:t>。主要原因是接待费用减少。其中：</w:t>
      </w:r>
    </w:p>
    <w:p>
      <w:pPr>
        <w:ind w:firstLine="640"/>
        <w:rPr>
          <w:rFonts w:ascii="仿宋_GB2312" w:eastAsia="仿宋_GB2312"/>
          <w:sz w:val="32"/>
          <w:szCs w:val="32"/>
        </w:rPr>
      </w:pPr>
      <w:r>
        <w:rPr>
          <w:rFonts w:ascii="仿宋" w:eastAsia="仿宋" w:hAnsi="仿宋" w:hint="eastAsia"/>
          <w:b/>
          <w:sz w:val="32"/>
          <w:szCs w:val="32"/>
        </w:rPr>
        <w:t>国内公务接待支出</w:t>
      </w:r>
      <w:r>
        <w:rPr>
          <w:rFonts w:ascii="仿宋" w:eastAsia="仿宋" w:hAnsi="仿宋"/>
          <w:b/>
          <w:sz w:val="32"/>
          <w:szCs w:val="32"/>
        </w:rPr>
        <w:t>0.92</w:t>
      </w:r>
      <w:r>
        <w:rPr>
          <w:rFonts w:ascii="仿宋_GB2312" w:eastAsia="仿宋_GB2312" w:hint="eastAsia"/>
          <w:sz w:val="32"/>
          <w:szCs w:val="32"/>
        </w:rPr>
        <w:t>万元，主要用于</w:t>
      </w:r>
      <w:r>
        <w:rPr>
          <w:rFonts w:ascii="仿宋" w:eastAsia="仿宋" w:cs="仿宋" w:hAnsi="仿宋" w:hint="eastAsia"/>
          <w:sz w:val="32"/>
          <w:szCs w:val="32"/>
        </w:rPr>
        <w:t>执行公务、开展业务活动开支的用餐费。</w:t>
      </w:r>
      <w:r>
        <w:rPr>
          <w:rFonts w:ascii="仿宋_GB2312" w:eastAsia="仿宋_GB2312" w:hint="eastAsia"/>
          <w:sz w:val="32"/>
          <w:szCs w:val="32"/>
        </w:rPr>
        <w:t>国内公务接待9批次，36人次（不包括陪同人员），共计支出0.92万元，具体内容包括：1.省商务厅对攀枝花市商务领域岁末年初安全生产重大隐患专项整治工作进行督导工作餐费0.06万元；2.省商务厅调研攀枝花电商产业发展情况工作餐费0.11万元；3.省商务厅调研高品质步行街打造、老字号认定、绿色商场创建等工作餐费0.07万元；4.省商务厅领导出席攀枝花市“2023年服务业发展年”动员大会餐费0.12万元；5.中外地理标志产品博览会组委会秘书处对接第二届中外地理标志产品博览会工作餐费0.06万元；6.省贸促会、省口岸物流办参加攀枝花出席中老班列（攀枝花）首发仪式活动餐费</w:t>
      </w:r>
      <w:r>
        <w:rPr>
          <w:rFonts w:ascii="仿宋" w:eastAsia="仿宋" w:cs="仿宋" w:hAnsi="仿宋" w:hint="eastAsia"/>
          <w:sz w:val="32"/>
          <w:szCs w:val="32"/>
        </w:rPr>
        <w:t>及三线博物馆讲解费0.1万元；7.省商务厅开展全省商务系统安全生产隐患大排查大整治工作餐费0.1万元； 8.省商务厅赴攀枝花开展报废机动车回收拆解企业验收工作餐费0.16万元；9.省物流保通保畅工作机制办公室调研攀枝花国际物流先行先试工作开展情况餐费0.14万元</w:t>
      </w:r>
      <w:r>
        <w:rPr>
          <w:rFonts w:ascii="仿宋_GB2312" w:eastAsia="仿宋_GB2312" w:hint="eastAsia"/>
          <w:sz w:val="32"/>
          <w:szCs w:val="32"/>
        </w:rPr>
        <w:t>。</w:t>
      </w:r>
    </w:p>
    <w:p>
      <w:pPr>
        <w:ind w:firstLineChars="200" w:firstLine="640"/>
        <w:rPr>
          <w:rFonts w:ascii="黑体" w:eastAsia="黑体"/>
          <w:sz w:val="32"/>
          <w:szCs w:val="32"/>
        </w:rPr>
      </w:pPr>
      <w:r>
        <w:rPr>
          <w:rFonts w:ascii="仿宋" w:eastAsia="仿宋" w:hAnsi="仿宋" w:hint="eastAsia"/>
          <w:b/>
          <w:sz w:val="32"/>
          <w:szCs w:val="32"/>
        </w:rPr>
        <w:t>外事接待支出</w:t>
      </w:r>
      <w:r>
        <w:rPr>
          <w:rFonts w:ascii="仿宋" w:eastAsia="仿宋" w:hAnsi="仿宋"/>
          <w:b/>
          <w:sz w:val="32"/>
          <w:szCs w:val="32"/>
        </w:rPr>
        <w:t>0</w:t>
      </w:r>
      <w:r>
        <w:rPr>
          <w:rFonts w:ascii="仿宋_GB2312" w:eastAsia="仿宋_GB2312" w:hint="eastAsia"/>
          <w:sz w:val="32"/>
          <w:szCs w:val="32"/>
        </w:rPr>
        <w:t>万元。外事接待0批次，0人次（不包括陪同人员），共计支出0万元。</w:t>
      </w:r>
    </w:p>
    <w:p>
      <w:pPr>
        <w:ind w:firstLine="640"/>
        <w:outlineLvl w:val="1"/>
        <w:rPr>
          <w:rStyle w:val="2Char"/>
          <w:rFonts w:ascii="黑体" w:eastAsia="黑体" w:hAnsi="黑体"/>
        </w:rPr>
      </w:pPr>
      <w:bookmarkStart w:id="85" w:name="_Toc176942327"/>
      <w:bookmarkStart w:id="86" w:name="_Toc176942468"/>
      <w:r>
        <w:rPr>
          <w:rFonts w:ascii="黑体" w:eastAsia="黑体" w:hint="eastAsia"/>
          <w:sz w:val="32"/>
          <w:szCs w:val="32"/>
        </w:rPr>
        <w:t>八、</w:t>
      </w:r>
      <w:r>
        <w:rPr>
          <w:rStyle w:val="2Char"/>
          <w:rFonts w:ascii="黑体" w:eastAsia="黑体" w:hAnsi="黑体" w:hint="eastAsia"/>
          <w:b w:val="0"/>
        </w:rPr>
        <w:t>政府性基金预算支出决算情况说明</w:t>
      </w:r>
      <w:bookmarkEnd w:id="83"/>
      <w:bookmarkEnd w:id="84"/>
      <w:bookmarkEnd w:id="85"/>
      <w:bookmarkEnd w:id="86"/>
    </w:p>
    <w:p>
      <w:pPr>
        <w:ind w:firstLine="640"/>
        <w:rPr>
          <w:rFonts w:ascii="仿宋_GB2312" w:eastAsia="仿宋_GB2312"/>
          <w:sz w:val="32"/>
          <w:szCs w:val="32"/>
        </w:rPr>
      </w:pPr>
      <w:r>
        <w:rPr>
          <w:rFonts w:ascii="仿宋_GB2312" w:eastAsia="仿宋_GB2312" w:hint="eastAsia"/>
          <w:sz w:val="32"/>
          <w:szCs w:val="32"/>
        </w:rPr>
        <w:t>2023年度政府性基金预算财政拨款支出</w:t>
      </w:r>
      <w:r>
        <w:rPr>
          <w:rFonts w:ascii="仿宋" w:eastAsia="仿宋" w:hAnsi="仿宋"/>
          <w:b/>
          <w:sz w:val="32"/>
          <w:szCs w:val="32"/>
        </w:rPr>
        <w:t>0</w:t>
      </w:r>
      <w:r>
        <w:rPr>
          <w:rFonts w:ascii="仿宋_GB2312" w:eastAsia="仿宋_GB2312" w:hint="eastAsia"/>
          <w:sz w:val="32"/>
          <w:szCs w:val="32"/>
        </w:rPr>
        <w:t>万元。</w:t>
      </w:r>
    </w:p>
    <w:p>
      <w:pPr>
        <w:numPr>
          <w:ilvl w:val="0"/>
          <w:numId w:val="2"/>
        </w:numPr>
        <w:ind w:left="0" w:firstLine="640"/>
        <w:outlineLvl w:val="1"/>
        <w:rPr>
          <w:rStyle w:val="2Char"/>
          <w:rFonts w:ascii="黑体" w:eastAsia="黑体" w:hAnsi="黑体"/>
          <w:b w:val="0"/>
        </w:rPr>
      </w:pPr>
      <w:bookmarkStart w:id="87" w:name="_Toc15396611"/>
      <w:bookmarkStart w:id="88" w:name="_Toc15377219"/>
      <w:bookmarkStart w:id="89" w:name="_Toc176942328"/>
      <w:bookmarkStart w:id="90" w:name="_Toc176942469"/>
      <w:r>
        <w:rPr>
          <w:rStyle w:val="2Char"/>
          <w:rFonts w:ascii="黑体" w:eastAsia="黑体" w:hAnsi="黑体" w:hint="eastAsia"/>
          <w:b w:val="0"/>
        </w:rPr>
        <w:t>国有资本经营预算支出决算情况说明</w:t>
      </w:r>
      <w:bookmarkEnd w:id="87"/>
      <w:bookmarkEnd w:id="88"/>
      <w:bookmarkEnd w:id="89"/>
      <w:bookmarkEnd w:id="90"/>
    </w:p>
    <w:p>
      <w:pPr>
        <w:ind w:firstLine="640"/>
        <w:rPr>
          <w:rFonts w:ascii="方正小标宋简体" w:eastAsia="方正小标宋简体" w:cs="方正小标宋简体" w:hAnsi="方正小标宋简体"/>
          <w:sz w:val="44"/>
          <w:szCs w:val="44"/>
        </w:rPr>
      </w:pPr>
      <w:r>
        <w:rPr>
          <w:rFonts w:ascii="仿宋_GB2312" w:eastAsia="仿宋_GB2312" w:hint="eastAsia"/>
          <w:sz w:val="32"/>
          <w:szCs w:val="32"/>
        </w:rPr>
        <w:t>2023年度国有资本经营预算财政拨款支出</w:t>
      </w:r>
      <w:r>
        <w:rPr>
          <w:rFonts w:ascii="仿宋" w:eastAsia="仿宋" w:hAnsi="仿宋"/>
          <w:b/>
          <w:sz w:val="32"/>
          <w:szCs w:val="32"/>
        </w:rPr>
        <w:t>0</w:t>
      </w:r>
      <w:r>
        <w:rPr>
          <w:rFonts w:ascii="仿宋_GB2312" w:eastAsia="仿宋_GB2312" w:hint="eastAsia"/>
          <w:sz w:val="32"/>
          <w:szCs w:val="32"/>
        </w:rPr>
        <w:t>万元。</w:t>
      </w:r>
    </w:p>
    <w:p>
      <w:pPr>
        <w:numPr>
          <w:ilvl w:val="0"/>
          <w:numId w:val="2"/>
        </w:numPr>
        <w:ind w:left="0" w:firstLine="640"/>
        <w:outlineLvl w:val="1"/>
        <w:rPr>
          <w:rStyle w:val="2Char"/>
          <w:rFonts w:ascii="黑体" w:eastAsia="黑体" w:hAnsi="黑体"/>
          <w:b w:val="0"/>
        </w:rPr>
      </w:pPr>
      <w:bookmarkStart w:id="91" w:name="_Toc15377221"/>
      <w:bookmarkStart w:id="92" w:name="_Toc15396612"/>
      <w:bookmarkStart w:id="93" w:name="_Toc176942329"/>
      <w:bookmarkStart w:id="94" w:name="_Toc176942470"/>
      <w:r>
        <w:rPr>
          <w:rStyle w:val="2Char"/>
          <w:rFonts w:ascii="黑体" w:eastAsia="黑体" w:hAnsi="黑体" w:hint="eastAsia"/>
          <w:b w:val="0"/>
        </w:rPr>
        <w:t>其他重要事项的情况说明</w:t>
      </w:r>
      <w:bookmarkEnd w:id="91"/>
      <w:bookmarkEnd w:id="92"/>
      <w:bookmarkEnd w:id="93"/>
      <w:bookmarkEnd w:id="94"/>
    </w:p>
    <w:p>
      <w:pPr>
        <w:ind w:firstLineChars="200" w:firstLine="640"/>
        <w:outlineLvl w:val="2"/>
        <w:rPr>
          <w:rFonts w:ascii="仿宋" w:eastAsia="仿宋" w:hAnsi="仿宋"/>
          <w:sz w:val="32"/>
          <w:szCs w:val="32"/>
        </w:rPr>
      </w:pPr>
      <w:bookmarkStart w:id="95" w:name="_Toc15377222"/>
      <w:bookmarkStart w:id="96" w:name="_Toc176942330"/>
      <w:bookmarkStart w:id="97" w:name="_Toc176942471"/>
      <w:r>
        <w:rPr>
          <w:rFonts w:ascii="仿宋" w:eastAsia="仿宋" w:hAnsi="仿宋" w:hint="eastAsia"/>
          <w:b/>
          <w:sz w:val="32"/>
          <w:szCs w:val="32"/>
        </w:rPr>
        <w:t>（一）机关运行经费支出情况</w:t>
      </w:r>
      <w:bookmarkEnd w:id="95"/>
      <w:bookmarkEnd w:id="96"/>
      <w:bookmarkEnd w:id="97"/>
    </w:p>
    <w:p>
      <w:pPr>
        <w:adjustRightInd w:val="0"/>
        <w:ind w:firstLine="640"/>
        <w:rPr>
          <w:rFonts w:ascii="仿宋" w:eastAsia="仿宋" w:cs="仿宋" w:hAnsi="仿宋"/>
          <w:sz w:val="32"/>
          <w:szCs w:val="32"/>
        </w:rPr>
      </w:pPr>
      <w:r>
        <w:rPr>
          <w:rFonts w:ascii="仿宋_GB2312" w:eastAsia="仿宋_GB2312" w:hint="eastAsia"/>
          <w:sz w:val="32"/>
          <w:szCs w:val="32"/>
        </w:rPr>
        <w:t>2023年度，</w:t>
      </w:r>
      <w:r>
        <w:rPr>
          <w:rFonts w:ascii="仿宋_GB2312" w:eastAsia="仿宋_GB2312"/>
          <w:b/>
          <w:sz w:val="32"/>
          <w:szCs w:val="32"/>
        </w:rPr>
        <w:t>四川省攀枝花市商务局</w:t>
      </w:r>
      <w:r>
        <w:rPr>
          <w:rFonts w:ascii="仿宋_GB2312" w:eastAsia="仿宋_GB2312" w:hint="eastAsia"/>
          <w:sz w:val="32"/>
          <w:szCs w:val="32"/>
        </w:rPr>
        <w:t>机关运行经费支出</w:t>
      </w:r>
      <w:r>
        <w:rPr>
          <w:rFonts w:ascii="仿宋" w:eastAsia="仿宋" w:hAnsi="仿宋"/>
          <w:b/>
          <w:sz w:val="32"/>
          <w:szCs w:val="32"/>
        </w:rPr>
        <w:t>167.01</w:t>
      </w:r>
      <w:r>
        <w:rPr>
          <w:rFonts w:ascii="仿宋_GB2312" w:eastAsia="仿宋_GB2312" w:hint="eastAsia"/>
          <w:sz w:val="32"/>
          <w:szCs w:val="32"/>
        </w:rPr>
        <w:t>万元，比2022年度增加14.35万元，增长9.4</w:t>
      </w:r>
      <w:r>
        <w:rPr>
          <w:rFonts w:ascii="仿宋_GB2312" w:eastAsia="仿宋_GB2312"/>
          <w:sz w:val="32"/>
          <w:szCs w:val="32"/>
        </w:rPr>
        <w:t>%</w:t>
      </w:r>
      <w:r>
        <w:rPr>
          <w:rFonts w:ascii="仿宋_GB2312" w:eastAsia="仿宋_GB2312" w:hint="eastAsia"/>
          <w:sz w:val="32"/>
          <w:szCs w:val="32"/>
        </w:rPr>
        <w:t>。主要原因是</w:t>
      </w:r>
      <w:r>
        <w:rPr>
          <w:rFonts w:ascii="仿宋" w:eastAsia="仿宋" w:cs="仿宋" w:hAnsi="仿宋" w:hint="eastAsia"/>
          <w:sz w:val="32"/>
          <w:szCs w:val="32"/>
        </w:rPr>
        <w:t>办公费、劳务费、维修（护）费等支出比上年有所增加。</w:t>
      </w:r>
    </w:p>
    <w:p>
      <w:pPr>
        <w:autoSpaceDE w:val="0"/>
        <w:autoSpaceDN w:val="0"/>
        <w:adjustRightInd w:val="0"/>
        <w:ind w:firstLineChars="200" w:firstLine="640"/>
        <w:jc w:val="left"/>
        <w:outlineLvl w:val="2"/>
        <w:rPr>
          <w:rFonts w:ascii="仿宋" w:eastAsia="仿宋" w:hAnsi="仿宋"/>
          <w:b/>
          <w:sz w:val="32"/>
          <w:szCs w:val="32"/>
        </w:rPr>
      </w:pPr>
      <w:bookmarkStart w:id="98" w:name="_Toc15377223"/>
      <w:bookmarkStart w:id="99" w:name="_Toc176942331"/>
      <w:bookmarkStart w:id="100" w:name="_Toc176942472"/>
      <w:r>
        <w:rPr>
          <w:rFonts w:ascii="仿宋" w:eastAsia="仿宋" w:hAnsi="仿宋" w:hint="eastAsia"/>
          <w:b/>
          <w:sz w:val="32"/>
          <w:szCs w:val="32"/>
        </w:rPr>
        <w:t>（二）政府采购支出情况</w:t>
      </w:r>
      <w:bookmarkEnd w:id="98"/>
      <w:bookmarkEnd w:id="99"/>
      <w:bookmarkEnd w:id="100"/>
    </w:p>
    <w:p>
      <w:pPr>
        <w:ind w:firstLineChars="200" w:firstLine="640"/>
        <w:rPr>
          <w:rFonts w:ascii="仿宋_GB2312" w:eastAsia="仿宋_GB2312"/>
          <w:sz w:val="32"/>
          <w:szCs w:val="32"/>
        </w:rPr>
      </w:pPr>
      <w:r>
        <w:rPr>
          <w:rFonts w:ascii="仿宋_GB2312" w:eastAsia="仿宋_GB2312" w:hint="eastAsia"/>
          <w:sz w:val="32"/>
          <w:szCs w:val="32"/>
        </w:rPr>
        <w:t>2023年度，</w:t>
      </w:r>
      <w:r>
        <w:rPr>
          <w:rFonts w:ascii="仿宋_GB2312" w:eastAsia="仿宋_GB2312"/>
          <w:sz w:val="32"/>
          <w:szCs w:val="32"/>
        </w:rPr>
        <w:t>攀枝花市商务局</w:t>
      </w:r>
      <w:r>
        <w:rPr>
          <w:rFonts w:ascii="仿宋_GB2312" w:eastAsia="仿宋_GB2312" w:hint="eastAsia"/>
          <w:sz w:val="32"/>
          <w:szCs w:val="32"/>
        </w:rPr>
        <w:t>政府采购支出总额</w:t>
      </w:r>
      <w:r>
        <w:rPr>
          <w:rFonts w:ascii="仿宋" w:eastAsia="仿宋" w:hAnsi="仿宋"/>
          <w:b/>
          <w:sz w:val="32"/>
          <w:szCs w:val="32"/>
        </w:rPr>
        <w:t>0</w:t>
      </w:r>
      <w:r>
        <w:rPr>
          <w:rFonts w:ascii="仿宋_GB2312" w:eastAsia="仿宋_GB2312" w:hint="eastAsia"/>
          <w:sz w:val="32"/>
          <w:szCs w:val="32"/>
        </w:rPr>
        <w:t>万元。其中：政府采购货物支出</w:t>
      </w:r>
      <w:r>
        <w:rPr>
          <w:rFonts w:ascii="仿宋" w:eastAsia="仿宋" w:hAnsi="仿宋"/>
          <w:b/>
          <w:sz w:val="32"/>
          <w:szCs w:val="32"/>
        </w:rPr>
        <w:t>0</w:t>
      </w:r>
      <w:r>
        <w:rPr>
          <w:rFonts w:ascii="仿宋_GB2312" w:eastAsia="仿宋_GB2312" w:hint="eastAsia"/>
          <w:sz w:val="32"/>
          <w:szCs w:val="32"/>
        </w:rPr>
        <w:t>万元、政府采购工程支出</w:t>
      </w:r>
      <w:r>
        <w:rPr>
          <w:rFonts w:ascii="仿宋" w:eastAsia="仿宋" w:hAnsi="仿宋"/>
          <w:b/>
          <w:sz w:val="32"/>
          <w:szCs w:val="32"/>
        </w:rPr>
        <w:t>0</w:t>
      </w:r>
      <w:r>
        <w:rPr>
          <w:rFonts w:ascii="仿宋_GB2312" w:eastAsia="仿宋_GB2312" w:hint="eastAsia"/>
          <w:sz w:val="32"/>
          <w:szCs w:val="32"/>
        </w:rPr>
        <w:t>万元、政府采购服务支出</w:t>
      </w:r>
      <w:r>
        <w:rPr>
          <w:rFonts w:ascii="仿宋" w:eastAsia="仿宋" w:hAnsi="仿宋"/>
          <w:b/>
          <w:sz w:val="32"/>
          <w:szCs w:val="32"/>
        </w:rPr>
        <w:t>0</w:t>
      </w:r>
      <w:r>
        <w:rPr>
          <w:rFonts w:ascii="仿宋_GB2312" w:eastAsia="仿宋_GB2312" w:hint="eastAsia"/>
          <w:sz w:val="32"/>
          <w:szCs w:val="32"/>
        </w:rPr>
        <w:t>万元。授予中小企业合同金额</w:t>
      </w:r>
      <w:r>
        <w:rPr>
          <w:rFonts w:ascii="仿宋" w:eastAsia="仿宋" w:hAnsi="仿宋"/>
          <w:b/>
          <w:sz w:val="32"/>
          <w:szCs w:val="32"/>
        </w:rPr>
        <w:t>0</w:t>
      </w:r>
      <w:r>
        <w:rPr>
          <w:rFonts w:ascii="仿宋_GB2312" w:eastAsia="仿宋_GB2312" w:hint="eastAsia"/>
          <w:sz w:val="32"/>
          <w:szCs w:val="32"/>
        </w:rPr>
        <w:t>万元，占政府采购支出总额的</w:t>
      </w:r>
      <w:r>
        <w:rPr>
          <w:rFonts w:ascii="仿宋_GB2312" w:eastAsia="仿宋_GB2312"/>
          <w:sz w:val="32"/>
          <w:szCs w:val="32"/>
        </w:rPr>
        <w:t>0%</w:t>
      </w:r>
      <w:r>
        <w:rPr>
          <w:rFonts w:ascii="仿宋_GB2312" w:eastAsia="仿宋_GB2312" w:hint="eastAsia"/>
          <w:sz w:val="32"/>
          <w:szCs w:val="32"/>
        </w:rPr>
        <w:t>，其中：授予小微企业合同金额</w:t>
      </w:r>
      <w:r>
        <w:rPr>
          <w:rFonts w:ascii="仿宋" w:eastAsia="仿宋" w:hAnsi="仿宋"/>
          <w:b/>
          <w:sz w:val="32"/>
          <w:szCs w:val="32"/>
        </w:rPr>
        <w:t>0</w:t>
      </w:r>
      <w:r>
        <w:rPr>
          <w:rFonts w:ascii="仿宋_GB2312" w:eastAsia="仿宋_GB2312" w:hint="eastAsia"/>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ascii="仿宋_GB2312" w:eastAsia="仿宋_GB2312" w:hint="eastAsia"/>
          <w:sz w:val="32"/>
          <w:szCs w:val="32"/>
        </w:rPr>
        <w:t>。</w:t>
      </w:r>
    </w:p>
    <w:p>
      <w:pPr>
        <w:autoSpaceDE w:val="0"/>
        <w:autoSpaceDN w:val="0"/>
        <w:adjustRightInd w:val="0"/>
        <w:ind w:firstLineChars="200" w:firstLine="640"/>
        <w:jc w:val="left"/>
        <w:outlineLvl w:val="2"/>
        <w:rPr>
          <w:rFonts w:ascii="仿宋" w:eastAsia="仿宋" w:hAnsi="仿宋"/>
          <w:b/>
          <w:sz w:val="32"/>
          <w:szCs w:val="32"/>
        </w:rPr>
      </w:pPr>
      <w:bookmarkStart w:id="101" w:name="_Toc15377224"/>
      <w:bookmarkStart w:id="102" w:name="_Toc176942332"/>
      <w:bookmarkStart w:id="103" w:name="_Toc176942473"/>
      <w:r>
        <w:rPr>
          <w:rFonts w:ascii="仿宋" w:eastAsia="仿宋" w:hAnsi="仿宋" w:hint="eastAsia"/>
          <w:b/>
          <w:sz w:val="32"/>
          <w:szCs w:val="32"/>
        </w:rPr>
        <w:t>（三）国有资产占有使用情况</w:t>
      </w:r>
      <w:bookmarkEnd w:id="101"/>
      <w:bookmarkEnd w:id="102"/>
      <w:bookmarkEnd w:id="103"/>
    </w:p>
    <w:p>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sz w:val="32"/>
          <w:szCs w:val="32"/>
        </w:rPr>
        <w:t>截至2023年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Pr>
          <w:rFonts w:ascii="仿宋_GB2312" w:eastAsia="仿宋_GB2312"/>
          <w:b/>
          <w:sz w:val="32"/>
          <w:szCs w:val="32"/>
        </w:rPr>
        <w:t>四川省攀枝花市商务局</w:t>
      </w:r>
      <w:r>
        <w:rPr>
          <w:rFonts w:ascii="仿宋_GB2312" w:eastAsia="仿宋_GB2312" w:hint="eastAsia"/>
          <w:sz w:val="32"/>
          <w:szCs w:val="32"/>
        </w:rPr>
        <w:t>共有车辆</w:t>
      </w:r>
      <w:r>
        <w:rPr>
          <w:rFonts w:ascii="仿宋_GB2312" w:eastAsia="仿宋_GB2312" w:hint="eastAsia"/>
          <w:b/>
          <w:sz w:val="32"/>
          <w:szCs w:val="32"/>
        </w:rPr>
        <w:t>1</w:t>
      </w:r>
      <w:r>
        <w:rPr>
          <w:rFonts w:ascii="仿宋_GB2312" w:eastAsia="仿宋_GB2312" w:hint="eastAsia"/>
          <w:sz w:val="32"/>
          <w:szCs w:val="32"/>
        </w:rPr>
        <w:t>辆，其中：应急保障用车1辆。单价</w:t>
      </w:r>
      <w:r>
        <w:rPr>
          <w:rFonts w:ascii="仿宋_GB2312" w:eastAsia="仿宋_GB2312"/>
          <w:sz w:val="32"/>
          <w:szCs w:val="32"/>
        </w:rPr>
        <w:t>100</w:t>
      </w:r>
      <w:r>
        <w:rPr>
          <w:rFonts w:ascii="仿宋_GB2312" w:eastAsia="仿宋_GB2312" w:hint="eastAsia"/>
          <w:sz w:val="32"/>
          <w:szCs w:val="32"/>
        </w:rPr>
        <w:t>万元以上设备（不含车辆）</w:t>
      </w:r>
      <w:r>
        <w:rPr>
          <w:rFonts w:ascii="仿宋_GB2312" w:eastAsia="仿宋_GB2312"/>
          <w:b/>
          <w:sz w:val="32"/>
          <w:szCs w:val="32"/>
        </w:rPr>
        <w:t>0</w:t>
      </w:r>
      <w:r>
        <w:rPr>
          <w:rFonts w:ascii="仿宋_GB2312" w:eastAsia="仿宋_GB2312" w:hint="eastAsia"/>
          <w:sz w:val="32"/>
          <w:szCs w:val="32"/>
        </w:rPr>
        <w:t>台（套）。</w:t>
      </w:r>
    </w:p>
    <w:p>
      <w:pPr>
        <w:autoSpaceDE w:val="0"/>
        <w:autoSpaceDN w:val="0"/>
        <w:adjustRightInd w:val="0"/>
        <w:ind w:firstLineChars="200" w:firstLine="640"/>
        <w:jc w:val="left"/>
        <w:outlineLvl w:val="2"/>
        <w:rPr>
          <w:rFonts w:ascii="仿宋" w:eastAsia="仿宋" w:hAnsi="仿宋"/>
          <w:b/>
          <w:sz w:val="32"/>
          <w:szCs w:val="32"/>
        </w:rPr>
      </w:pPr>
      <w:bookmarkStart w:id="104" w:name="_Toc176942333"/>
      <w:bookmarkStart w:id="105" w:name="_Toc176942474"/>
      <w:r>
        <w:rPr>
          <w:rFonts w:ascii="仿宋" w:eastAsia="仿宋" w:hAnsi="仿宋" w:hint="eastAsia"/>
          <w:b/>
          <w:sz w:val="32"/>
          <w:szCs w:val="32"/>
        </w:rPr>
        <w:t>（四）预算绩效管理情况</w:t>
      </w:r>
      <w:bookmarkEnd w:id="104"/>
      <w:bookmarkEnd w:id="105"/>
    </w:p>
    <w:p>
      <w:pPr>
        <w:ind w:firstLineChars="200" w:firstLine="640"/>
        <w:rPr>
          <w:rFonts w:ascii="仿宋_GB2312" w:eastAsia="仿宋_GB2312"/>
          <w:sz w:val="32"/>
          <w:szCs w:val="32"/>
        </w:rPr>
      </w:pPr>
      <w:r>
        <w:rPr>
          <w:rFonts w:ascii="仿宋_GB2312" w:eastAsia="仿宋_GB2312" w:hint="eastAsia"/>
          <w:sz w:val="32"/>
          <w:szCs w:val="32"/>
        </w:rPr>
        <w:t>根据预算绩效管理要求，本单位在2023年度预算编制阶段，组织对促消费活动资金、中老班列常态化开行运行费用等2个项目开展了预算事前绩效评估，对12个项目编制了绩效目标，预算执行过程中，选取促消费活动资金，中老班列常态化开行运行费用2个项目开展绩效监控，组织开展绩效自评，绩效自评表详见第四部分附件。</w:t>
        <w:br w:type="page"/>
      </w:r>
    </w:p>
    <w:p>
      <w:pPr>
        <w:numPr>
          <w:ilvl w:val="0"/>
          <w:numId w:val="3"/>
        </w:numPr>
        <w:ind w:left="0" w:firstLineChars="150" w:firstLine="660"/>
        <w:jc w:val="center"/>
        <w:outlineLvl w:val="0"/>
        <w:rPr>
          <w:rStyle w:val="1Char"/>
          <w:rFonts w:ascii="黑体" w:eastAsia="黑体" w:hAnsi="黑体"/>
          <w:b w:val="0"/>
        </w:rPr>
      </w:pPr>
      <w:bookmarkStart w:id="106" w:name="_Toc15377225"/>
      <w:bookmarkStart w:id="107" w:name="_Toc15396613"/>
      <w:bookmarkStart w:id="108" w:name="_Toc176942334"/>
      <w:bookmarkStart w:id="109" w:name="_Toc176942475"/>
      <w:r>
        <w:rPr>
          <w:rFonts w:ascii="黑体" w:eastAsia="黑体" w:hAnsi="黑体" w:hint="eastAsia"/>
          <w:sz w:val="44"/>
          <w:szCs w:val="44"/>
        </w:rPr>
        <w:t>名</w:t>
      </w:r>
      <w:r>
        <w:rPr>
          <w:rStyle w:val="1Char"/>
          <w:rFonts w:ascii="黑体" w:eastAsia="黑体" w:hAnsi="黑体" w:hint="eastAsia"/>
          <w:b w:val="0"/>
        </w:rPr>
        <w:t>词解释</w:t>
      </w:r>
      <w:bookmarkEnd w:id="106"/>
      <w:bookmarkEnd w:id="107"/>
      <w:bookmarkEnd w:id="108"/>
      <w:bookmarkEnd w:id="109"/>
    </w:p>
    <w:p>
      <w:pPr>
        <w:jc w:val="left"/>
        <w:rPr>
          <w:rFonts w:ascii="宋体"/>
          <w:b/>
          <w:sz w:val="44"/>
          <w:szCs w:val="44"/>
        </w:rPr>
      </w:pPr>
    </w:p>
    <w:p>
      <w:pPr>
        <w:pStyle w:val="30"/>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pPr>
        <w:pStyle w:val="30"/>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2.其他收入：指单位取得的除上述收入以外的各项收入。主要是</w:t>
      </w:r>
      <w:r>
        <w:rPr>
          <w:rFonts w:ascii="仿宋_GB2312" w:eastAsia="仿宋_GB2312" w:cs="仿宋_GB2312" w:hAnsi="仿宋" w:hint="eastAsia"/>
          <w:sz w:val="32"/>
          <w:szCs w:val="32"/>
        </w:rPr>
        <w:t>银行利息收入</w:t>
      </w:r>
      <w:r>
        <w:rPr>
          <w:rFonts w:ascii="仿宋_GB2312" w:eastAsia="仿宋_GB2312" w:hAnsi="仿宋" w:hint="eastAsia"/>
          <w:color w:val="auto"/>
          <w:sz w:val="32"/>
          <w:szCs w:val="32"/>
        </w:rPr>
        <w:t xml:space="preserve">等。 </w:t>
      </w:r>
    </w:p>
    <w:p>
      <w:pPr>
        <w:pStyle w:val="30"/>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 xml:space="preserve">3.年初结转和结余：指以前年度尚未完成、结转到本年按有关规定继续使用的资金。 </w:t>
      </w:r>
    </w:p>
    <w:p>
      <w:pPr>
        <w:pStyle w:val="30"/>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4.年末结转和结余：指单位按有关规定结转到下年或以后年度继续使用的资金。</w:t>
      </w:r>
    </w:p>
    <w:p>
      <w:pPr>
        <w:pStyle w:val="30"/>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5. 一般公共服务（类）商贸事务（款）行政运行（项）：反映行政单位（包括实行公务员管理的事业单位）的基本支出。</w:t>
      </w:r>
    </w:p>
    <w:p>
      <w:pPr>
        <w:pStyle w:val="30"/>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6. 一般公共服务（类）商贸事务（款）事业运行（项）：反映事业单位的基本支出，不包括行政单位（包括实行公务员管理的事业单位）后勤服务中心、医务室等附属事业单位。</w:t>
      </w:r>
    </w:p>
    <w:p>
      <w:pPr>
        <w:pStyle w:val="30"/>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7．一般公共服务（类）组织事务（款）其他组织事务支出（项）：反映除上述项目以外其他用于中国共产党组织部门的事务支出。</w:t>
      </w:r>
    </w:p>
    <w:p>
      <w:pPr>
        <w:pStyle w:val="30"/>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8. 一般公共服务（类）市场监督管理事务（款）视频安全监管（项）：反映食品安全监管等专项工作支出。</w:t>
      </w:r>
    </w:p>
    <w:p>
      <w:pPr>
        <w:pStyle w:val="30"/>
        <w:ind w:firstLineChars="200" w:firstLine="640"/>
        <w:rPr>
          <w:rFonts w:ascii="仿宋_GB2312" w:eastAsia="仿宋_GB2312" w:hAnsi="仿宋"/>
          <w:color w:val="auto"/>
          <w:sz w:val="32"/>
          <w:szCs w:val="32"/>
        </w:rPr>
      </w:pPr>
    </w:p>
    <w:p>
      <w:pPr>
        <w:pStyle w:val="30"/>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9.社会保障和就业（类）行政事业单位养老支出（款）行政单位离退休（项）：反映行政单位（包括实行公务员管理的事业单位）开支的离退休经费。</w:t>
      </w:r>
    </w:p>
    <w:p>
      <w:pPr>
        <w:pStyle w:val="30"/>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10.社会保障和就业（类）行政事业单位养老支出（款）事业单位离退休（项）：反映事业单位开支的离退休经费。</w:t>
      </w:r>
    </w:p>
    <w:p>
      <w:pPr>
        <w:pStyle w:val="30"/>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11.社会保障和就业（类）行政事业单位养老支出（款）机关事业单位基本养老保险缴费支出（项）：反映机关事业单位实施养老保险制度由单位缴纳的基本养老保险费支出。</w:t>
      </w:r>
    </w:p>
    <w:p>
      <w:pPr>
        <w:pStyle w:val="30"/>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12.社会保障和就业（类）抚恤（款）死亡抚恤（项）：反映按规定用于烈士和牺牲、病故人员家属的一次性和定期抚恤金、丧葬补助费以及烈士褒扬金。</w:t>
      </w:r>
    </w:p>
    <w:p>
      <w:pPr>
        <w:pStyle w:val="30"/>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13.社会保障和就业（类）社会福利（款）儿童福利（项）：指对儿童提供福利服务方面的支出。</w:t>
      </w:r>
    </w:p>
    <w:p>
      <w:pPr>
        <w:pStyle w:val="30"/>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14.卫生健康支出（类）行政事业单位医疗（款）行政单位医疗（项）：反映财政部门安排的行政单位（包括实行公务员管理的事业单位，下同）基本医疗保险缴费经费，未参加医疗保险的行政单位的公费医疗经费，按规定享受离休人员、红军老战士待遇人员的医疗经费。</w:t>
      </w:r>
    </w:p>
    <w:p>
      <w:pPr>
        <w:pStyle w:val="30"/>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15. 卫生健康支出（类）行政事业单位医疗（款）事业单位医疗（项）：反映财政部门安排的事业单位基本医疗保险缴费经费，未参加医疗保险的行政单位的公费医疗经费，按规定享受离休人员、红军老战士待遇人员的医疗经费。</w:t>
      </w:r>
    </w:p>
    <w:p>
      <w:pPr>
        <w:pStyle w:val="30"/>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16. 卫生健康支出（类）行政事业单位医疗（款）公务员医疗补助（项）：反映财政部门安排的公务员医疗补助经费。</w:t>
      </w:r>
    </w:p>
    <w:p>
      <w:pPr>
        <w:pStyle w:val="30"/>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17. 卫生健康支出（类）行政事业单位医疗（款）其他行政事业单位医疗支出（项）：</w:t>
      </w:r>
    </w:p>
    <w:p>
      <w:pPr>
        <w:pStyle w:val="30"/>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18. 卫生健康支出（类）其他卫生健康支出（款）其他卫生健康支出（项）：反映除上述项目以外其他用于卫生健康方面的支出。</w:t>
      </w:r>
    </w:p>
    <w:p>
      <w:pPr>
        <w:pStyle w:val="30"/>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19. 农林水支出（类）农业农村（款）其他农业农村支出（项）:反映除上述项目以外其他用于农业农村方面的支出。</w:t>
      </w:r>
    </w:p>
    <w:p>
      <w:pPr>
        <w:pStyle w:val="30"/>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20.</w:t>
      </w:r>
      <w:r>
        <w:rPr>
          <w:rFonts w:hint="eastAsia"/>
        </w:rPr>
        <w:t xml:space="preserve"> </w:t>
      </w:r>
      <w:r>
        <w:rPr>
          <w:rFonts w:ascii="仿宋_GB2312" w:eastAsia="仿宋_GB2312" w:hAnsi="仿宋" w:hint="eastAsia"/>
          <w:color w:val="auto"/>
          <w:sz w:val="32"/>
          <w:szCs w:val="32"/>
        </w:rPr>
        <w:t>资源勘探工业信息等支出（类）支持中小企业发展和管理支出（款）其他支持中小企业发展和管理支出（项）:反映除上述项目以外其他用于支持中小企业发展和管理方面的支出。</w:t>
      </w:r>
    </w:p>
    <w:p>
      <w:pPr>
        <w:pStyle w:val="30"/>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21.商业服务业等支出（类）商业流通事务（款）其他商业流通事务支出（项）：反映除上述项目以外其他用商业流通事务方面的支出。</w:t>
      </w:r>
    </w:p>
    <w:p>
      <w:pPr>
        <w:pStyle w:val="30"/>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22.商业服务业等支出（类）涉外发展服务支出（款）其他涉外发展服务支出（项）：反映除上述项目以外其他用于涉外发展服务方面的支出。</w:t>
      </w:r>
    </w:p>
    <w:p>
      <w:pPr>
        <w:pStyle w:val="30"/>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23.商业服务业等支出（类）其他商业服务业等支出（款）其他商业服务业等支出（项）：反映其他商业服务业等支出中除上述项目以外的其他支出。</w:t>
      </w:r>
    </w:p>
    <w:p>
      <w:pPr>
        <w:pStyle w:val="30"/>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24.住房保障（类）住房改革支出（款）住房公积金（项）：反映行政事业单位按人力资源和社会保障部、财政部规定的基本工资和津贴补贴以及规定比例为职工缴纳的住房公积金。</w:t>
      </w:r>
    </w:p>
    <w:p>
      <w:pPr>
        <w:pStyle w:val="30"/>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25.基本支出：指为保障机构正常运转、完成日常工作任务而发生的人员支出和公用支出。</w:t>
      </w:r>
    </w:p>
    <w:p>
      <w:pPr>
        <w:pStyle w:val="30"/>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26.项目支出：指在基本支出之外为完成特定行政任务和事业发展目标所发生的支出。</w:t>
      </w:r>
    </w:p>
    <w:p>
      <w:pPr>
        <w:pStyle w:val="30"/>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27.“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0"/>
        <w:ind w:firstLineChars="200" w:firstLine="640"/>
        <w:rPr>
          <w:rFonts w:ascii="仿宋_GB2312" w:eastAsia="仿宋_GB2312" w:hAnsi="仿宋"/>
          <w:color w:val="auto"/>
          <w:sz w:val="32"/>
          <w:szCs w:val="32"/>
        </w:rPr>
      </w:pPr>
      <w:r>
        <w:rPr>
          <w:rFonts w:ascii="仿宋_GB2312" w:eastAsia="仿宋_GB2312" w:hAnsi="仿宋" w:hint="eastAsia"/>
          <w:color w:val="auto"/>
          <w:sz w:val="32"/>
          <w:szCs w:val="32"/>
        </w:rPr>
        <w:t>28.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jc w:val="left"/>
        <w:rPr>
          <w:rFonts w:ascii="黑体" w:eastAsia="黑体" w:hAnsi="黑体"/>
          <w:sz w:val="44"/>
          <w:szCs w:val="44"/>
        </w:rPr>
      </w:pPr>
      <w:bookmarkStart w:id="110" w:name="_Toc15396614"/>
      <w:bookmarkStart w:id="111" w:name="_Toc176942335"/>
      <w:bookmarkStart w:id="112" w:name="_Toc176942476"/>
      <w:bookmarkStart w:id="113" w:name="_Toc15377226"/>
      <w:r>
        <w:rPr>
          <w:rFonts w:ascii="黑体" w:eastAsia="黑体" w:hAnsi="黑体"/>
          <w:sz w:val="44"/>
          <w:szCs w:val="44"/>
        </w:rPr>
        <w:br w:type="page"/>
      </w:r>
    </w:p>
    <w:p>
      <w:pPr>
        <w:jc w:val="center"/>
        <w:outlineLvl w:val="0"/>
        <w:rPr>
          <w:rStyle w:val="1Char"/>
          <w:rFonts w:ascii="黑体" w:eastAsia="黑体" w:hAnsi="黑体" w:hint="eastAsia"/>
          <w:b w:val="0"/>
        </w:rPr>
      </w:pPr>
      <w:r>
        <w:rPr>
          <w:rFonts w:ascii="黑体" w:eastAsia="黑体" w:hAnsi="黑体" w:hint="eastAsia"/>
          <w:sz w:val="44"/>
          <w:szCs w:val="44"/>
        </w:rPr>
        <w:t>第</w:t>
      </w:r>
      <w:r>
        <w:rPr>
          <w:rStyle w:val="1Char"/>
          <w:rFonts w:ascii="黑体" w:eastAsia="黑体" w:hAnsi="黑体" w:hint="eastAsia"/>
          <w:b w:val="0"/>
        </w:rPr>
        <w:t>四部分 附件</w:t>
      </w:r>
      <w:bookmarkStart w:id="114" w:name="_Toc15396618"/>
      <w:bookmarkEnd w:id="110"/>
      <w:bookmarkEnd w:id="111"/>
      <w:bookmarkEnd w:id="112"/>
    </w:p>
    <w:p>
      <w:pPr>
        <w:ind w:firstLineChars="200" w:firstLine="640"/>
        <w:jc w:val="left"/>
        <w:outlineLvl w:val="0"/>
        <w:rPr>
          <w:rFonts w:ascii="黑体" w:eastAsia="黑体" w:hAnsi="黑体"/>
          <w:bCs/>
          <w:kern w:val="44"/>
          <w:sz w:val="44"/>
          <w:szCs w:val="44"/>
        </w:rPr>
      </w:pPr>
      <w:r>
        <w:rPr>
          <w:rFonts w:ascii="宋体" w:eastAsia="宋体" w:hAnsi="宋体" w:hint="eastAsia"/>
          <w:sz w:val="32"/>
          <w:szCs w:val="32"/>
          <w:lang w:val="zh-CN"/>
        </w:rPr>
        <w:t>附表：</w:t>
      </w:r>
      <w:r>
        <w:rPr>
          <w:rFonts w:ascii="宋体" w:eastAsia="宋体" w:hAnsi="宋体" w:hint="eastAsia"/>
          <w:sz w:val="32"/>
          <w:szCs w:val="32"/>
        </w:rPr>
        <w:t>部门</w:t>
      </w:r>
      <w:r>
        <w:rPr>
          <w:rFonts w:ascii="宋体" w:eastAsia="宋体" w:hAnsi="宋体" w:hint="eastAsia"/>
          <w:sz w:val="32"/>
          <w:szCs w:val="32"/>
          <w:lang w:val="zh-CN"/>
        </w:rPr>
        <w:t>预算项目支出绩效自评表（2023年度）（见附件</w:t>
      </w:r>
      <w:r>
        <w:rPr>
          <w:rFonts w:ascii="宋体" w:eastAsia="宋体" w:hAnsi="宋体"/>
          <w:sz w:val="32"/>
          <w:szCs w:val="32"/>
          <w:lang w:val="zh-CN"/>
        </w:rPr>
        <w:t>2</w:t>
      </w:r>
      <w:r>
        <w:rPr>
          <w:rFonts w:ascii="宋体" w:eastAsia="宋体" w:hAnsi="宋体" w:hint="eastAsia"/>
          <w:sz w:val="32"/>
          <w:szCs w:val="32"/>
          <w:lang w:val="zh-CN"/>
        </w:rPr>
        <w:t>）</w:t>
      </w:r>
    </w:p>
    <w:p>
      <w:pPr>
        <w:widowControl/>
        <w:jc w:val="left"/>
        <w:rPr>
          <w:rFonts w:cs="仿宋" w:hAnsi="Calibri"/>
          <w:sz w:val="32"/>
          <w:szCs w:val="32"/>
        </w:rPr>
      </w:pPr>
      <w:r>
        <w:rPr>
          <w:rFonts w:cs="仿宋" w:hAnsi="Calibri"/>
          <w:sz w:val="32"/>
          <w:szCs w:val="32"/>
        </w:rPr>
        <w:br w:type="page"/>
      </w:r>
    </w:p>
    <w:p>
      <w:pPr>
        <w:jc w:val="center"/>
        <w:outlineLvl w:val="0"/>
        <w:rPr>
          <w:rFonts w:ascii="仿宋" w:eastAsia="仿宋" w:hAnsi="仿宋"/>
        </w:rPr>
      </w:pPr>
      <w:bookmarkStart w:id="115" w:name="_Toc176942336"/>
      <w:bookmarkStart w:id="116" w:name="_Toc176942477"/>
      <w:r>
        <w:rPr>
          <w:rFonts w:ascii="黑体" w:eastAsia="黑体" w:hAnsi="黑体" w:hint="eastAsia"/>
          <w:sz w:val="44"/>
          <w:szCs w:val="44"/>
        </w:rPr>
        <w:t>第</w:t>
      </w:r>
      <w:r>
        <w:rPr>
          <w:rStyle w:val="1Char"/>
          <w:rFonts w:ascii="黑体" w:eastAsia="黑体" w:hAnsi="黑体" w:hint="eastAsia"/>
          <w:b w:val="0"/>
        </w:rPr>
        <w:t>五部分 附表</w:t>
      </w:r>
      <w:bookmarkStart w:id="117" w:name="_Toc15396619"/>
      <w:bookmarkEnd w:id="113"/>
      <w:bookmarkEnd w:id="114"/>
      <w:bookmarkEnd w:id="115"/>
      <w:bookmarkEnd w:id="116"/>
    </w:p>
    <w:p>
      <w:pPr>
        <w:pStyle w:val="2"/>
        <w:spacing w:line="240" w:lineRule="auto"/>
        <w:rPr>
          <w:rFonts w:ascii="仿宋" w:eastAsia="仿宋" w:hAnsi="仿宋"/>
        </w:rPr>
      </w:pPr>
      <w:bookmarkStart w:id="118" w:name="_Toc176942337"/>
      <w:bookmarkStart w:id="119" w:name="_Toc176942478"/>
      <w:r>
        <w:rPr>
          <w:rFonts w:ascii="仿宋" w:eastAsia="仿宋" w:hAnsi="仿宋" w:hint="eastAsia"/>
          <w:b w:val="0"/>
        </w:rPr>
        <w:t>一、收</w:t>
      </w:r>
      <w:r>
        <w:rPr>
          <w:rStyle w:val="2Char"/>
          <w:rFonts w:ascii="仿宋" w:eastAsia="仿宋" w:hAnsi="仿宋" w:hint="eastAsia"/>
        </w:rPr>
        <w:t>入支出决算总表</w:t>
      </w:r>
      <w:bookmarkEnd w:id="117"/>
      <w:bookmarkEnd w:id="118"/>
      <w:bookmarkEnd w:id="119"/>
    </w:p>
    <w:p>
      <w:pPr>
        <w:pStyle w:val="2"/>
        <w:spacing w:line="240" w:lineRule="auto"/>
        <w:rPr>
          <w:rFonts w:ascii="仿宋" w:eastAsia="仿宋" w:hAnsi="仿宋"/>
        </w:rPr>
      </w:pPr>
      <w:bookmarkStart w:id="120" w:name="_Toc15396620"/>
      <w:bookmarkStart w:id="121" w:name="_Toc176942338"/>
      <w:bookmarkStart w:id="122" w:name="_Toc176942479"/>
      <w:r>
        <w:rPr>
          <w:rFonts w:ascii="仿宋" w:eastAsia="仿宋" w:hAnsi="仿宋" w:hint="eastAsia"/>
          <w:b w:val="0"/>
        </w:rPr>
        <w:t>二、收</w:t>
      </w:r>
      <w:r>
        <w:rPr>
          <w:rStyle w:val="2Char"/>
          <w:rFonts w:ascii="仿宋" w:eastAsia="仿宋" w:hAnsi="仿宋" w:hint="eastAsia"/>
        </w:rPr>
        <w:t>入决算表</w:t>
      </w:r>
      <w:bookmarkEnd w:id="120"/>
      <w:bookmarkEnd w:id="121"/>
      <w:bookmarkEnd w:id="122"/>
    </w:p>
    <w:p>
      <w:pPr>
        <w:pStyle w:val="2"/>
        <w:spacing w:line="240" w:lineRule="auto"/>
        <w:rPr>
          <w:rFonts w:ascii="仿宋" w:eastAsia="仿宋" w:hAnsi="仿宋"/>
        </w:rPr>
      </w:pPr>
      <w:bookmarkStart w:id="123" w:name="_Toc15396621"/>
      <w:bookmarkStart w:id="124" w:name="_Toc176942339"/>
      <w:bookmarkStart w:id="125" w:name="_Toc176942480"/>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123"/>
      <w:bookmarkEnd w:id="124"/>
      <w:bookmarkEnd w:id="125"/>
    </w:p>
    <w:p>
      <w:pPr>
        <w:pStyle w:val="2"/>
        <w:spacing w:line="240" w:lineRule="auto"/>
        <w:rPr>
          <w:rFonts w:ascii="仿宋" w:eastAsia="仿宋" w:hAnsi="仿宋"/>
          <w:b w:val="0"/>
        </w:rPr>
      </w:pPr>
      <w:bookmarkStart w:id="126" w:name="_Toc15396622"/>
      <w:bookmarkStart w:id="127" w:name="_Toc176942340"/>
      <w:bookmarkStart w:id="128" w:name="_Toc176942481"/>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126"/>
      <w:bookmarkEnd w:id="127"/>
      <w:bookmarkEnd w:id="128"/>
    </w:p>
    <w:p>
      <w:pPr>
        <w:pStyle w:val="2"/>
        <w:spacing w:line="240" w:lineRule="auto"/>
        <w:rPr>
          <w:rStyle w:val="2Char"/>
          <w:rFonts w:ascii="仿宋" w:eastAsia="仿宋" w:hAnsi="仿宋"/>
        </w:rPr>
      </w:pPr>
      <w:bookmarkStart w:id="129" w:name="_Toc15396623"/>
      <w:bookmarkStart w:id="130" w:name="_Toc176942341"/>
      <w:bookmarkStart w:id="131" w:name="_Toc176942482"/>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132" w:name="_Toc15396624"/>
      <w:bookmarkEnd w:id="129"/>
      <w:bookmarkEnd w:id="130"/>
      <w:bookmarkEnd w:id="131"/>
    </w:p>
    <w:p>
      <w:pPr>
        <w:pStyle w:val="2"/>
        <w:spacing w:line="240" w:lineRule="auto"/>
        <w:rPr>
          <w:rFonts w:ascii="仿宋" w:eastAsia="仿宋" w:hAnsi="仿宋"/>
        </w:rPr>
      </w:pPr>
      <w:bookmarkStart w:id="133" w:name="_Toc176942342"/>
      <w:bookmarkStart w:id="134" w:name="_Toc176942483"/>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132"/>
      <w:bookmarkEnd w:id="133"/>
      <w:bookmarkEnd w:id="134"/>
    </w:p>
    <w:p>
      <w:pPr>
        <w:pStyle w:val="2"/>
        <w:spacing w:line="240" w:lineRule="auto"/>
        <w:rPr>
          <w:rFonts w:ascii="仿宋" w:eastAsia="仿宋" w:hAnsi="仿宋"/>
        </w:rPr>
      </w:pPr>
      <w:bookmarkStart w:id="135" w:name="_Toc15396625"/>
      <w:bookmarkStart w:id="136" w:name="_Toc176942343"/>
      <w:bookmarkStart w:id="137" w:name="_Toc176942484"/>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135"/>
      <w:bookmarkEnd w:id="136"/>
      <w:bookmarkEnd w:id="137"/>
    </w:p>
    <w:p>
      <w:pPr>
        <w:pStyle w:val="2"/>
        <w:spacing w:line="240" w:lineRule="auto"/>
        <w:rPr>
          <w:rFonts w:ascii="仿宋" w:eastAsia="仿宋" w:hAnsi="仿宋"/>
        </w:rPr>
      </w:pPr>
      <w:bookmarkStart w:id="138" w:name="_Toc15396626"/>
      <w:bookmarkStart w:id="139" w:name="_Toc176942344"/>
      <w:bookmarkStart w:id="140" w:name="_Toc176942485"/>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138"/>
      <w:bookmarkEnd w:id="139"/>
      <w:bookmarkEnd w:id="140"/>
    </w:p>
    <w:p>
      <w:pPr>
        <w:pStyle w:val="2"/>
        <w:spacing w:line="240" w:lineRule="auto"/>
        <w:rPr>
          <w:rFonts w:ascii="仿宋" w:eastAsia="仿宋" w:hAnsi="仿宋"/>
        </w:rPr>
      </w:pPr>
      <w:bookmarkStart w:id="141" w:name="_Toc15396627"/>
      <w:bookmarkStart w:id="142" w:name="_Toc176942345"/>
      <w:bookmarkStart w:id="143" w:name="_Toc176942486"/>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141"/>
      <w:bookmarkEnd w:id="142"/>
      <w:bookmarkEnd w:id="143"/>
    </w:p>
    <w:p>
      <w:pPr>
        <w:pStyle w:val="2"/>
        <w:spacing w:line="240" w:lineRule="auto"/>
        <w:rPr>
          <w:rFonts w:ascii="仿宋" w:eastAsia="仿宋" w:hAnsi="仿宋"/>
        </w:rPr>
      </w:pPr>
      <w:bookmarkStart w:id="144" w:name="_Toc15396628"/>
      <w:bookmarkStart w:id="145" w:name="_Toc176942346"/>
      <w:bookmarkStart w:id="146" w:name="_Toc176942487"/>
      <w:r>
        <w:rPr>
          <w:rStyle w:val="2Char"/>
          <w:rFonts w:ascii="仿宋" w:eastAsia="仿宋" w:hAnsi="仿宋" w:hint="eastAsia"/>
        </w:rPr>
        <w:t>十、</w:t>
      </w:r>
      <w:bookmarkEnd w:id="144"/>
      <w:r>
        <w:rPr>
          <w:rFonts w:ascii="仿宋" w:eastAsia="仿宋" w:hAnsi="仿宋" w:hint="eastAsia"/>
          <w:b w:val="0"/>
        </w:rPr>
        <w:t>政</w:t>
      </w:r>
      <w:r>
        <w:rPr>
          <w:rStyle w:val="2Char"/>
          <w:rFonts w:ascii="仿宋" w:eastAsia="仿宋" w:hAnsi="仿宋" w:hint="eastAsia"/>
        </w:rPr>
        <w:t>府性基金预算财政拨款收入支出决算表</w:t>
      </w:r>
      <w:bookmarkEnd w:id="145"/>
      <w:bookmarkEnd w:id="146"/>
    </w:p>
    <w:p>
      <w:pPr>
        <w:pStyle w:val="2"/>
        <w:spacing w:line="240" w:lineRule="auto"/>
        <w:rPr>
          <w:rFonts w:ascii="仿宋" w:eastAsia="仿宋" w:hAnsi="仿宋"/>
        </w:rPr>
      </w:pPr>
      <w:bookmarkStart w:id="147" w:name="_Toc15396629"/>
      <w:bookmarkStart w:id="148" w:name="_Toc176942347"/>
      <w:bookmarkStart w:id="149" w:name="_Toc176942488"/>
      <w:r>
        <w:rPr>
          <w:rStyle w:val="2Char"/>
          <w:rFonts w:ascii="仿宋" w:eastAsia="仿宋" w:hAnsi="仿宋" w:hint="eastAsia"/>
        </w:rPr>
        <w:t>十一、</w:t>
      </w:r>
      <w:bookmarkEnd w:id="147"/>
      <w:r>
        <w:rPr>
          <w:rFonts w:ascii="仿宋" w:eastAsia="仿宋" w:hAnsi="仿宋" w:hint="eastAsia"/>
          <w:b w:val="0"/>
        </w:rPr>
        <w:t>国</w:t>
      </w:r>
      <w:r>
        <w:rPr>
          <w:rStyle w:val="2Char"/>
          <w:rFonts w:ascii="仿宋" w:eastAsia="仿宋" w:hAnsi="仿宋" w:hint="eastAsia"/>
        </w:rPr>
        <w:t>有资本经营预算财政拨款收入支出决算表</w:t>
      </w:r>
      <w:bookmarkEnd w:id="148"/>
      <w:bookmarkEnd w:id="149"/>
    </w:p>
    <w:p>
      <w:pPr>
        <w:pStyle w:val="2"/>
        <w:spacing w:line="240" w:lineRule="auto"/>
        <w:rPr>
          <w:rFonts w:ascii="仿宋" w:eastAsia="仿宋" w:hAnsi="仿宋"/>
        </w:rPr>
      </w:pPr>
      <w:bookmarkStart w:id="150" w:name="_Toc15396630"/>
      <w:bookmarkStart w:id="151" w:name="_Toc176942348"/>
      <w:bookmarkStart w:id="152" w:name="_Toc176942489"/>
      <w:r>
        <w:rPr>
          <w:rStyle w:val="2Char"/>
          <w:rFonts w:ascii="仿宋" w:eastAsia="仿宋" w:hAnsi="仿宋" w:hint="eastAsia"/>
        </w:rPr>
        <w:t>十二、</w:t>
      </w:r>
      <w:bookmarkEnd w:id="150"/>
      <w:r>
        <w:rPr>
          <w:rStyle w:val="2Char"/>
          <w:rFonts w:ascii="仿宋" w:eastAsia="仿宋" w:hAnsi="仿宋" w:hint="eastAsia"/>
        </w:rPr>
        <w:t>国有资本经营预算财政拨款支出决算表</w:t>
      </w:r>
      <w:bookmarkEnd w:id="151"/>
      <w:bookmarkEnd w:id="152"/>
    </w:p>
    <w:p>
      <w:pPr>
        <w:pStyle w:val="2"/>
        <w:spacing w:line="240" w:lineRule="auto"/>
        <w:rPr>
          <w:rFonts w:eastAsia="仿宋"/>
        </w:rPr>
      </w:pPr>
      <w:bookmarkStart w:id="153" w:name="_Toc15396631"/>
      <w:bookmarkStart w:id="154" w:name="_Toc176942349"/>
      <w:bookmarkStart w:id="155" w:name="_Toc176942490"/>
      <w:r>
        <w:rPr>
          <w:rStyle w:val="2Char"/>
          <w:rFonts w:ascii="仿宋" w:eastAsia="仿宋" w:hAnsi="仿宋" w:hint="eastAsia"/>
        </w:rPr>
        <w:t>十三、</w:t>
      </w:r>
      <w:bookmarkEnd w:id="153"/>
      <w:r>
        <w:rPr>
          <w:rStyle w:val="2Char"/>
          <w:rFonts w:ascii="仿宋" w:eastAsia="仿宋" w:hAnsi="仿宋" w:hint="eastAsia"/>
        </w:rPr>
        <w:t>财政拨款“三公”经费支出决算表</w:t>
      </w:r>
      <w:bookmarkEnd w:id="154"/>
      <w:bookmarkEnd w:id="155"/>
    </w:p>
    <w:sectPr>
      <w:headerReference w:type="default" r:id="rId2"/>
      <w:footerReference w:type="default" r:id="rId3"/>
      <w:pgSz w:w="11906" w:h="16838"/>
      <w:pgMar w:top="1440" w:right="1800" w:bottom="1440" w:left="1800" w:header="851" w:footer="992" w:gutter="0"/>
      <w:pgNumType w:start="1"/>
      <w:cols w:num="1" w:space="425"/>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微软雅黑"/>
    <w:panose1 w:val="00000000000000000000"/>
    <w:charset w:val="86"/>
    <w:family w:val="script"/>
    <w:pitch w:val="variable"/>
    <w:sig w:usb0="00000000" w:usb1="184F6CFA" w:usb2="00000012"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variable"/>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10002FF" w:usb1="4000ACFF" w:usb2="00000009" w:usb3="00000000" w:csb0="0000019F" w:csb1="00000000"/>
  </w:font>
  <w:font w:name="仿宋">
    <w:panose1 w:val="02010609060101010101"/>
    <w:charset w:val="86"/>
    <w:family w:val="modern"/>
    <w:pitch w:val="variable"/>
    <w:sig w:usb0="800002BF" w:usb1="38CF7CFA" w:usb2="00000016" w:usb3="00000000" w:csb0="00040001" w:csb1="00000000"/>
  </w:font>
  <w:font w:name="仿宋_GB2312">
    <w:altName w:val="仿宋"/>
    <w:panose1 w:val="00000000000000000000"/>
    <w:charset w:val="86"/>
    <w:family w:val="modern"/>
    <w:pitch w:val="variable"/>
    <w:sig w:usb0="00000001" w:usb1="080E0000" w:usb2="00000010" w:usb3="00000000" w:csb0="00040000" w:csb1="00000000"/>
  </w:font>
  <w:font w:name="Lucida Sans">
    <w:panose1 w:val="020B0602030504020204"/>
    <w:charset w:val="00"/>
    <w:family w:val="auto"/>
    <w:pitch w:val="variable"/>
    <w:sig w:usb0="00000003" w:usb1="00000000" w:usb2="00000000" w:usb3="00000000" w:csb0="2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950691995"/>
    </w:sdtPr>
    <w:sdtContent>
      <w:p>
        <w:pPr>
          <w:pStyle w:val="20"/>
          <w:tabs>
            <w:tab w:val="center" w:pos="4153"/>
            <w:tab w:val="right" w:pos="8306"/>
          </w:tabs>
          <w:jc w:val="center"/>
        </w:pPr>
        <w:r>
          <w:fldChar w:fldCharType="begin"/>
        </w:r>
        <w:r>
          <w:instrText>PAGE   \* MERGEFORMAT</w:instrText>
        </w:r>
        <w:r>
          <w:fldChar w:fldCharType="separate"/>
        </w:r>
        <w:r>
          <w:rPr>
            <w:lang w:val="zh-CN"/>
          </w:rPr>
          <w:t>25</w:t>
        </w:r>
        <w:r>
          <w:fldChar w:fldCharType="end"/>
        </w:r>
      </w:p>
    </w:sdtContent>
  </w:sdt>
  <w:p>
    <w:pPr>
      <w:pStyle w:val="20"/>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272550B"/>
    <w:multiLevelType w:val="multilevel"/>
    <w:tmpl w:val="1272550B"/>
    <w:lvl w:ilvl="0">
      <w:start w:val="1"/>
      <w:numFmt w:val="japaneseCounting"/>
      <w:lvlRestart w:val="0"/>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CF652CEC"/>
    <w:multiLevelType w:val="singleLevel"/>
    <w:tmpl w:val="CF652CEC"/>
    <w:lvl w:ilvl="0">
      <w:start w:val="9"/>
      <w:numFmt w:val="chineseCounting"/>
      <w:lvlRestart w:val="0"/>
      <w:suff w:val="nothing"/>
      <w:lvlText w:val="%1、"/>
      <w:lvlJc w:val="left"/>
      <w:pPr/>
      <w:rPr>
        <w:rFonts w:hint="eastAsia"/>
      </w:rPr>
    </w:lvl>
  </w:abstractNum>
  <w:abstractNum w:abstractNumId="2">
    <w:nsid w:val="E2FA047D"/>
    <w:multiLevelType w:val="singleLevel"/>
    <w:tmpl w:val="E2FA047D"/>
    <w:lvl w:ilvl="0">
      <w:start w:val="3"/>
      <w:numFmt w:val="chineseCounting"/>
      <w:lvlRestart w:val="0"/>
      <w:suff w:val="space"/>
      <w:lvlText w:val="第%1部分"/>
      <w:lvlJc w:val="left"/>
      <w:pPr/>
      <w:rPr>
        <w:rFonts w:ascii="黑体" w:hAnsi="黑体" w:eastAsia="黑体" w:cs="黑体" w:hint="eastAsia"/>
        <w:sz w:val="44"/>
        <w:szCs w:val="44"/>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customStyle="1" w:styleId="15">
    <w:name w:val="标题 5（有编号）（绿盟科技）"/>
    <w:next w:val="0"/>
    <w:pPr>
      <w:keepNext/>
      <w:keepLines/>
      <w:widowControl w:val="0"/>
      <w:spacing w:before="280" w:after="156" w:line="377" w:lineRule="auto"/>
      <w:outlineLvl w:val="4"/>
    </w:pPr>
    <w:rPr>
      <w:rFonts w:ascii="Arial" w:eastAsia="黑体" w:cs="Times New Roman" w:hAnsi="Arial"/>
      <w:b/>
      <w:kern w:val="2"/>
      <w:sz w:val="24"/>
      <w:szCs w:val="28"/>
      <w:lang w:val="en-US" w:eastAsia="zh-CN" w:bidi="ar-SA"/>
    </w:rPr>
  </w:style>
  <w:style w:type="paragraph" w:styleId="16">
    <w:name w:val="Body Text"/>
    <w:basedOn w:val="0"/>
    <w:pPr>
      <w:spacing w:beforeLines="30" w:before="30"/>
    </w:pPr>
    <w:rPr>
      <w:rFonts w:ascii="仿宋_GB2312" w:eastAsia="仿宋_GB2312"/>
      <w:kern w:val="0"/>
      <w:sz w:val="30"/>
    </w:rPr>
  </w:style>
  <w:style w:type="paragraph" w:styleId="17">
    <w:name w:val="Body Text Indent"/>
    <w:basedOn w:val="0"/>
    <w:pPr>
      <w:spacing w:after="120"/>
      <w:ind w:leftChars="200" w:left="200"/>
    </w:pPr>
    <w:rPr>
      <w:rFonts w:ascii="仿宋_GB2312" w:hAnsi="仿宋_GB2312"/>
      <w:szCs w:val="32"/>
    </w:rPr>
  </w:style>
  <w:style w:type="paragraph" w:styleId="18">
    <w:name w:val="toc 3"/>
    <w:basedOn w:val="0"/>
    <w:next w:val="0"/>
    <w:pPr>
      <w:tabs>
        <w:tab w:val="right" w:leader="dot" w:pos="8296"/>
      </w:tabs>
      <w:ind w:leftChars="400" w:left="400"/>
    </w:pPr>
  </w:style>
  <w:style w:type="paragraph" w:styleId="19">
    <w:name w:val="Balloon Text"/>
    <w:basedOn w:val="0"/>
    <w:rPr>
      <w:sz w:val="18"/>
      <w:szCs w:val="18"/>
    </w:rPr>
  </w:style>
  <w:style w:type="paragraph" w:styleId="20">
    <w:name w:val="footer"/>
    <w:basedOn w:val="0"/>
    <w:pPr>
      <w:tabs>
        <w:tab w:val="center" w:pos="4153"/>
        <w:tab w:val="right" w:pos="8306"/>
      </w:tabs>
      <w:snapToGrid w:val="0"/>
      <w:jc w:val="left"/>
    </w:pPr>
    <w:rPr>
      <w:rFonts w:ascii="Calibri" w:hAnsi="Calibri"/>
      <w:kern w:val="0"/>
      <w:sz w:val="18"/>
      <w:szCs w:val="18"/>
    </w:rPr>
  </w:style>
  <w:style w:type="paragraph" w:styleId="21">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2">
    <w:name w:val="toc 1"/>
    <w:basedOn w:val="0"/>
    <w:next w:val="0"/>
    <w:pPr>
      <w:tabs>
        <w:tab w:val="right" w:leader="dot" w:pos="8296"/>
      </w:tabs>
      <w:spacing w:before="93"/>
      <w:jc w:val="center"/>
    </w:pPr>
    <w:rPr>
      <w:rFonts w:ascii="仿宋" w:eastAsia="仿宋" w:hAnsi="仿宋"/>
      <w:sz w:val="32"/>
      <w:szCs w:val="28"/>
    </w:rPr>
  </w:style>
  <w:style w:type="paragraph" w:styleId="23">
    <w:name w:val="toc 2"/>
    <w:basedOn w:val="0"/>
    <w:next w:val="0"/>
    <w:pPr>
      <w:tabs>
        <w:tab w:val="right" w:leader="dot" w:pos="8296"/>
      </w:tabs>
      <w:ind w:leftChars="200" w:left="200"/>
    </w:pPr>
  </w:style>
  <w:style w:type="paragraph" w:styleId="24">
    <w:name w:val="Body Text First Indent 2"/>
    <w:basedOn w:val="17"/>
    <w:pPr>
      <w:ind w:firstLineChars="200" w:firstLine="200"/>
    </w:pPr>
  </w:style>
  <w:style w:type="character" w:styleId="25">
    <w:name w:val="Strong"/>
    <w:basedOn w:val="10"/>
    <w:rPr>
      <w:b/>
    </w:rPr>
  </w:style>
  <w:style w:type="character" w:styleId="26">
    <w:name w:val="Hyperlink"/>
    <w:basedOn w:val="10"/>
    <w:rPr>
      <w:color w:val="0000FF"/>
      <w:u w:val="single"/>
    </w:rPr>
  </w:style>
  <w:style w:type="character" w:customStyle="1" w:styleId="27">
    <w:name w:val="Header Char"/>
    <w:basedOn w:val="10"/>
    <w:rPr>
      <w:rFonts w:ascii="Times New Roman" w:hAnsi="Times New Roman"/>
      <w:sz w:val="18"/>
      <w:szCs w:val="18"/>
    </w:rPr>
  </w:style>
  <w:style w:type="character" w:customStyle="1" w:styleId="28">
    <w:name w:val="Footer Char"/>
    <w:basedOn w:val="10"/>
    <w:rPr>
      <w:rFonts w:ascii="Times New Roman" w:hAnsi="Times New Roman"/>
      <w:sz w:val="18"/>
      <w:szCs w:val="18"/>
    </w:rPr>
  </w:style>
  <w:style w:type="character" w:customStyle="1" w:styleId="29">
    <w:name w:val="Body Text Char"/>
    <w:basedOn w:val="10"/>
    <w:rPr>
      <w:rFonts w:ascii="Times New Roman" w:hAnsi="Times New Roman"/>
      <w:szCs w:val="24"/>
    </w:rPr>
  </w:style>
  <w:style w:type="paragraph" w:customStyle="1" w:styleId="30">
    <w:name w:val="Default"/>
    <w:pPr>
      <w:widowControl w:val="0"/>
      <w:autoSpaceDE w:val="0"/>
      <w:autoSpaceDN w:val="0"/>
      <w:adjustRightInd w:val="0"/>
    </w:pPr>
    <w:rPr>
      <w:rFonts w:ascii="仿宋" w:eastAsia="仿宋" w:cs="仿宋" w:hAnsi="Calibri"/>
      <w:color w:val="000000"/>
      <w:sz w:val="24"/>
      <w:szCs w:val="24"/>
      <w:lang w:val="en-US" w:eastAsia="zh-CN" w:bidi="ar-SA"/>
    </w:rPr>
  </w:style>
  <w:style w:type="paragraph" w:styleId="31">
    <w:name w:val="List Paragraph"/>
    <w:basedOn w:val="0"/>
    <w:pPr>
      <w:ind w:firstLineChars="200" w:firstLine="200"/>
    </w:pPr>
  </w:style>
  <w:style w:type="paragraph" w:customStyle="1" w:styleId="32">
    <w:name w:val="TOC 标题1"/>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 w:type="paragraph" w:customStyle="1" w:styleId="33">
    <w:name w:val="TOC 标题2"/>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 w:type="paragraph" w:styleId="34">
    <w:name w:val="Normal (Web)"/>
    <w:basedOn w:val="0"/>
    <w:pPr>
      <w:widowControl/>
      <w:spacing w:before="100" w:beforeAutospacing="1" w:after="100" w:afterAutospacing="1"/>
      <w:jc w:val="left"/>
    </w:pPr>
    <w:rPr>
      <w:rFonts w:ascii="宋体" w:cs="宋体" w:hAnsi="宋体"/>
      <w:kern w:val="0"/>
      <w:sz w:val="24"/>
    </w:rPr>
  </w:style>
  <w:style w:type="character" w:styleId="35">
    <w:name w:val="FollowedHyperlink"/>
    <w:basedOn w:val="10"/>
    <w:rPr>
      <w:color w:val="800080"/>
      <w:u w:val="single"/>
    </w:rPr>
  </w:style>
  <w:style w:type="paragraph" w:customStyle="1" w:styleId="36">
    <w:name w:val="font5"/>
    <w:basedOn w:val="0"/>
    <w:pPr>
      <w:widowControl/>
      <w:spacing w:before="100" w:beforeAutospacing="1" w:after="100" w:afterAutospacing="1"/>
      <w:jc w:val="left"/>
    </w:pPr>
    <w:rPr>
      <w:rFonts w:ascii="宋体" w:cs="宋体" w:hAnsi="宋体"/>
      <w:kern w:val="0"/>
      <w:sz w:val="18"/>
      <w:szCs w:val="18"/>
    </w:rPr>
  </w:style>
  <w:style w:type="paragraph" w:customStyle="1" w:styleId="37">
    <w:name w:val="xl65"/>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cs="宋体" w:hAnsi="宋体"/>
      <w:color w:val="000000"/>
      <w:kern w:val="0"/>
      <w:sz w:val="18"/>
      <w:szCs w:val="18"/>
    </w:rPr>
  </w:style>
  <w:style w:type="paragraph" w:customStyle="1" w:styleId="38">
    <w:name w:val="xl66"/>
    <w:basedOn w:val="0"/>
    <w:pPr>
      <w:widowControl/>
      <w:spacing w:before="100" w:beforeAutospacing="1" w:after="100" w:afterAutospacing="1"/>
      <w:jc w:val="left"/>
    </w:pPr>
    <w:rPr>
      <w:rFonts w:ascii="Courier New" w:cs="Courier New" w:hAnsi="Courier New"/>
      <w:color w:val="000000"/>
      <w:kern w:val="0"/>
      <w:sz w:val="18"/>
      <w:szCs w:val="18"/>
    </w:rPr>
  </w:style>
  <w:style w:type="paragraph" w:customStyle="1" w:styleId="39">
    <w:name w:val="xl67"/>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cs="宋体" w:hAnsi="宋体"/>
      <w:color w:val="000000"/>
      <w:kern w:val="0"/>
      <w:sz w:val="18"/>
      <w:szCs w:val="18"/>
    </w:rPr>
  </w:style>
  <w:style w:type="paragraph" w:customStyle="1" w:styleId="40">
    <w:name w:val="xl68"/>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cs="宋体" w:hAnsi="宋体"/>
      <w:color w:val="000000"/>
      <w:kern w:val="0"/>
      <w:sz w:val="18"/>
      <w:szCs w:val="18"/>
    </w:rPr>
  </w:style>
  <w:style w:type="paragraph" w:customStyle="1" w:styleId="41">
    <w:name w:val="xl69"/>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cs="宋体" w:hAnsi="宋体"/>
      <w:color w:val="000000"/>
      <w:kern w:val="0"/>
      <w:sz w:val="18"/>
      <w:szCs w:val="18"/>
    </w:rPr>
  </w:style>
  <w:style w:type="paragraph" w:customStyle="1" w:styleId="42">
    <w:name w:val="xl70"/>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cs="宋体" w:hAnsi="微软雅黑"/>
      <w:i/>
      <w:iCs/>
      <w:color w:val="000000"/>
      <w:kern w:val="0"/>
      <w:sz w:val="16"/>
      <w:szCs w:val="16"/>
    </w:rPr>
  </w:style>
  <w:style w:type="paragraph" w:customStyle="1" w:styleId="43">
    <w:name w:val="xl71"/>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cs="宋体" w:hAnsi="微软雅黑"/>
      <w:i/>
      <w:iCs/>
      <w:color w:val="000000"/>
      <w:kern w:val="0"/>
      <w:sz w:val="16"/>
      <w:szCs w:val="16"/>
    </w:rPr>
  </w:style>
  <w:style w:type="paragraph" w:customStyle="1" w:styleId="44">
    <w:name w:val="xl72"/>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cs="Courier New" w:hAnsi="Courier New"/>
      <w:i/>
      <w:iCs/>
      <w:color w:val="000000"/>
      <w:kern w:val="0"/>
      <w:sz w:val="18"/>
      <w:szCs w:val="18"/>
    </w:rPr>
  </w:style>
  <w:style w:type="paragraph" w:customStyle="1" w:styleId="45">
    <w:name w:val="xl73"/>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cs="Courier New" w:hAnsi="Courier New"/>
      <w:color w:val="000000"/>
      <w:kern w:val="0"/>
      <w:sz w:val="18"/>
      <w:szCs w:val="18"/>
    </w:rPr>
  </w:style>
  <w:style w:type="paragraph" w:customStyle="1" w:styleId="46">
    <w:name w:val="xl74"/>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cs="Courier New" w:hAnsi="Courier New"/>
      <w:color w:val="000000"/>
      <w:kern w:val="0"/>
      <w:sz w:val="18"/>
      <w:szCs w:val="18"/>
    </w:rPr>
  </w:style>
  <w:style w:type="paragraph" w:customStyle="1" w:styleId="47">
    <w:name w:val="xl75"/>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黑体" w:eastAsia="黑体" w:cs="宋体" w:hAnsi="黑体"/>
      <w:b/>
      <w:bCs/>
      <w:color w:val="000000"/>
      <w:kern w:val="0"/>
      <w:sz w:val="30"/>
      <w:szCs w:val="30"/>
    </w:rPr>
  </w:style>
  <w:style w:type="paragraph" w:customStyle="1" w:styleId="48">
    <w:name w:val="xl76"/>
    <w:basedOn w:val="0"/>
    <w:pPr>
      <w:widowControl/>
      <w:pBdr>
        <w:top w:val="single" w:sz="4" w:space="0" w:color="000000"/>
        <w:left w:val="single" w:sz="4" w:space="0" w:color="000000"/>
        <w:bottom w:val="single" w:sz="4" w:space="0" w:color="000000"/>
      </w:pBdr>
      <w:spacing w:before="100" w:beforeAutospacing="1" w:after="100" w:afterAutospacing="1"/>
      <w:jc w:val="left"/>
    </w:pPr>
    <w:rPr>
      <w:rFonts w:ascii="宋体" w:cs="宋体" w:hAnsi="宋体"/>
      <w:color w:val="000000"/>
      <w:kern w:val="0"/>
      <w:sz w:val="18"/>
      <w:szCs w:val="18"/>
    </w:rPr>
  </w:style>
  <w:style w:type="paragraph" w:customStyle="1" w:styleId="49">
    <w:name w:val="xl77"/>
    <w:basedOn w:val="0"/>
    <w:pPr>
      <w:widowControl/>
      <w:pBdr>
        <w:top w:val="single" w:sz="4" w:space="0" w:color="000000"/>
        <w:bottom w:val="single" w:sz="4" w:space="0" w:color="000000"/>
      </w:pBdr>
      <w:spacing w:before="100" w:beforeAutospacing="1" w:after="100" w:afterAutospacing="1"/>
      <w:jc w:val="left"/>
    </w:pPr>
    <w:rPr>
      <w:rFonts w:ascii="宋体" w:cs="宋体" w:hAnsi="宋体"/>
      <w:color w:val="000000"/>
      <w:kern w:val="0"/>
      <w:sz w:val="18"/>
      <w:szCs w:val="18"/>
    </w:rPr>
  </w:style>
  <w:style w:type="paragraph" w:customStyle="1" w:styleId="50">
    <w:name w:val="xl78"/>
    <w:basedOn w:val="0"/>
    <w:pPr>
      <w:widowControl/>
      <w:pBdr>
        <w:top w:val="single" w:sz="4" w:space="0" w:color="000000"/>
        <w:bottom w:val="single" w:sz="4" w:space="0" w:color="000000"/>
        <w:right w:val="single" w:sz="4" w:space="0" w:color="000000"/>
      </w:pBdr>
      <w:spacing w:before="100" w:beforeAutospacing="1" w:after="100" w:afterAutospacing="1"/>
      <w:jc w:val="left"/>
    </w:pPr>
    <w:rPr>
      <w:rFonts w:ascii="宋体" w:cs="宋体" w:hAnsi="宋体"/>
      <w:color w:val="000000"/>
      <w:kern w:val="0"/>
      <w:sz w:val="18"/>
      <w:szCs w:val="18"/>
    </w:rPr>
  </w:style>
  <w:style w:type="paragraph" w:customStyle="1" w:styleId="51">
    <w:name w:val="xl79"/>
    <w:basedOn w:val="0"/>
    <w:pPr>
      <w:widowControl/>
      <w:pBdr>
        <w:top w:val="single" w:sz="4" w:space="0" w:color="000000"/>
        <w:left w:val="single" w:sz="4" w:space="0" w:color="000000"/>
        <w:right w:val="single" w:sz="4" w:space="0" w:color="000000"/>
      </w:pBdr>
      <w:spacing w:before="100" w:beforeAutospacing="1" w:after="100" w:afterAutospacing="1"/>
      <w:jc w:val="center"/>
    </w:pPr>
    <w:rPr>
      <w:rFonts w:ascii="宋体" w:cs="宋体" w:hAnsi="宋体"/>
      <w:color w:val="000000"/>
      <w:kern w:val="0"/>
      <w:sz w:val="18"/>
      <w:szCs w:val="18"/>
    </w:rPr>
  </w:style>
  <w:style w:type="paragraph" w:customStyle="1" w:styleId="52">
    <w:name w:val="xl80"/>
    <w:basedOn w:val="0"/>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cs="宋体" w:hAnsi="宋体"/>
      <w:color w:val="000000"/>
      <w:kern w:val="0"/>
      <w:sz w:val="18"/>
      <w:szCs w:val="18"/>
    </w:rPr>
  </w:style>
  <w:style w:type="paragraph" w:styleId="53">
    <w:name w:val="TOC Heading"/>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chart" Target="charts/chart1.xml"/><Relationship Id="rId5" Type="http://schemas.openxmlformats.org/officeDocument/2006/relationships/chart" Target="charts/chart2.xml"/><Relationship Id="rId6" Type="http://schemas.openxmlformats.org/officeDocument/2006/relationships/chart" Target="charts/chart3.xml"/><Relationship Id="rId7" Type="http://schemas.openxmlformats.org/officeDocument/2006/relationships/chart" Target="charts/chart4.xml"/><Relationship Id="rId8" Type="http://schemas.openxmlformats.org/officeDocument/2006/relationships/chart" Target="charts/chart5.xml"/><Relationship Id="rId9" Type="http://schemas.openxmlformats.org/officeDocument/2006/relationships/chart" Target="charts/chart6.xml"/><Relationship Id="rId10" Type="http://schemas.openxmlformats.org/officeDocument/2006/relationships/chart" Target="charts/chart7.xml"/><Relationship Id="rId11" Type="http://schemas.openxmlformats.org/officeDocument/2006/relationships/styles" Target="styl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a:t>收、支决算总计变动情况图</a:t>
            </a:r>
          </a:p>
        </c:rich>
      </c:tx>
      <c:layout>
        <c:manualLayout>
          <c:xMode val="edge"/>
          <c:yMode val="edge"/>
          <c:x val="0.2876475"/>
          <c:y val="0.045407638"/>
        </c:manualLayout>
      </c:layout>
      <c:overlay val="0"/>
      <c:spPr>
        <a:ln>
          <a:noFill/>
        </a:ln>
      </c:spPr>
    </c:title>
    <c:autoTitleDeleted val="1"/>
    <c:plotArea>
      <c:layout/>
      <c:barChart>
        <c:barDir val="col"/>
        <c:grouping val="clustered"/>
        <c:varyColors val="0"/>
        <c:ser>
          <c:idx val="0"/>
          <c:order val="0"/>
          <c:tx>
            <c:strRef>
              <c:f>Sheet1!$B$1</c:f>
              <c:strCache>
                <c:ptCount val="1"/>
                <c:pt idx="0">
                  <c:v>万元</c:v>
                </c:pt>
              </c:strCache>
            </c:strRef>
          </c:tx>
          <c:spPr>
            <a:solidFill>
              <a:srgbClr val="4F81BD"/>
            </a:solidFill>
            <a:ln>
              <a:noFill/>
            </a:ln>
          </c:spPr>
          <c:invertIfNegative val="0"/>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1"/>
            <c:showCatName val="0"/>
            <c:showSerName val="0"/>
            <c:showPercent val="0"/>
            <c:showBubbleSize val="0"/>
            <c:showLeaderLines val="0"/>
          </c:dLbls>
          <c:cat>
            <c:numRef>
              <c:f>Sheet1!$A$2:$A$3</c:f>
              <c:numCache>
                <c:ptCount val="2"/>
                <c:pt idx="0">
                  <c:v>2021</c:v>
                </c:pt>
                <c:pt idx="1">
                  <c:v>2022</c:v>
                </c:pt>
              </c:numCache>
            </c:numRef>
          </c:cat>
          <c:val>
            <c:numRef>
              <c:f>Sheet1!$B$2:$B$3</c:f>
              <c:numCache>
                <c:formatCode>General</c:formatCode>
                <c:ptCount val="2"/>
                <c:pt idx="0">
                  <c:v>1448.99</c:v>
                </c:pt>
                <c:pt idx="1">
                  <c:v>2061.61</c:v>
                </c:pt>
              </c:numCache>
            </c:numRef>
          </c:val>
        </c:ser>
        <c:gapWidth val="150"/>
        <c:axId val="0"/>
        <c:axId val="1"/>
      </c:barChart>
      <c:catAx>
        <c:axId val="0"/>
        <c:scaling>
          <c:orientation val="minMax"/>
        </c:scaling>
        <c:delete val="0"/>
        <c:axPos val="b"/>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At val="1.0"/>
        <c:crossBetween val="between"/>
        <c:crossAx val="0"/>
      </c:valAx>
      <c:spPr>
        <a:solidFill>
          <a:srgbClr val="FFFFFF"/>
        </a:solidFill>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a:t>收入决算结构图</a:t>
            </a:r>
          </a:p>
        </c:rich>
      </c:tx>
      <c:layout/>
      <c:overlay val="0"/>
      <c:spPr>
        <a:ln>
          <a:noFill/>
        </a:ln>
      </c:spPr>
    </c:title>
    <c:autoTitleDeleted val="1"/>
    <c:view3D>
      <c:rotX val="30"/>
      <c:hPercent val="100"/>
      <c:rotY val="0"/>
      <c:depthPercent val="100"/>
      <c:rAngAx val="0"/>
      <c:perspective val="0"/>
    </c:view3D>
    <c:floor>
      <c:thickness val="0"/>
      <c:spPr>
        <a:ln>
          <a:noFill/>
        </a:ln>
      </c:spPr>
    </c:floor>
    <c:sideWall>
      <c:thickness val="0"/>
      <c:spPr>
        <a:ln>
          <a:noFill/>
        </a:ln>
      </c:spPr>
    </c:sideWall>
    <c:backWall>
      <c:thickness val="0"/>
      <c:spPr>
        <a:solidFill>
          <a:srgbClr val="C0C0C0"/>
        </a:solidFill>
        <a:ln>
          <a:noFill/>
        </a:ln>
      </c:spPr>
    </c:backWall>
    <c:plotArea>
      <c:layout/>
      <c:pie3DChart>
        <c:varyColors val="1"/>
        <c:ser>
          <c:idx val="0"/>
          <c:order val="0"/>
          <c:tx>
            <c:strRef>
              <c:f>'Sheet1 (2)'!$B$1</c:f>
              <c:strCache>
                <c:ptCount val="1"/>
                <c:pt idx="0">
                  <c:v>万元</c:v>
                </c:pt>
              </c:strCache>
            </c:strRef>
          </c:tx>
          <c:spPr>
            <a:solidFill>
              <a:srgbClr val="4F81BD"/>
            </a:solidFill>
          </c:spPr>
          <c:dPt>
            <c:idx val="0"/>
            <c:bubble3D val="0"/>
            <c:spPr>
              <a:solidFill>
                <a:srgbClr val="4F81BD"/>
              </a:solidFill>
            </c:spPr>
          </c:dPt>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1"/>
            <c:showCatName val="0"/>
            <c:showSerName val="0"/>
            <c:showPercent val="0"/>
            <c:showBubbleSize val="0"/>
            <c:showLeaderLines val="1"/>
          </c:dLbls>
          <c:cat>
            <c:strRef>
              <c:f>'Sheet1 (2)'!$A$2</c:f>
              <c:strCache>
                <c:ptCount val="1"/>
                <c:pt idx="0">
                  <c:v>一般公共预算收入</c:v>
                </c:pt>
              </c:strCache>
            </c:strRef>
          </c:cat>
          <c:val>
            <c:numRef>
              <c:f>'Sheet1 (2)'!$B$2</c:f>
              <c:numCache>
                <c:formatCode>General</c:formatCode>
                <c:ptCount val="1"/>
                <c:pt idx="0">
                  <c:v>1946.39</c:v>
                </c:pt>
              </c:numCache>
            </c:numRef>
          </c:val>
        </c:ser>
        <c:gapDepth val="150"/>
        <c:firstSliceAng val="0"/>
      </c:pie3DChart>
      <c:spPr>
        <a:solidFill>
          <a:srgbClr val="C0C0C0"/>
        </a:solidFill>
        <a:ln>
          <a:noFill/>
        </a:ln>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a:t>支出决算结构图</a:t>
            </a:r>
          </a:p>
        </c:rich>
      </c:tx>
      <c:layout>
        <c:manualLayout>
          <c:xMode val="edge"/>
          <c:yMode val="edge"/>
          <c:x val="0.31915474"/>
          <c:y val="0.02889577"/>
        </c:manualLayout>
      </c:layout>
      <c:overlay val="0"/>
      <c:spPr>
        <a:ln>
          <a:noFill/>
        </a:ln>
      </c:spPr>
    </c:title>
    <c:autoTitleDeleted val="1"/>
    <c:view3D>
      <c:rotX val="30"/>
      <c:hPercent val="100"/>
      <c:rotY val="0"/>
      <c:depthPercent val="100"/>
      <c:rAngAx val="0"/>
      <c:perspective val="0"/>
    </c:view3D>
    <c:floor>
      <c:thickness val="0"/>
      <c:spPr>
        <a:ln>
          <a:noFill/>
        </a:ln>
      </c:spPr>
    </c:floor>
    <c:sideWall>
      <c:thickness val="0"/>
      <c:spPr>
        <a:ln>
          <a:noFill/>
        </a:ln>
      </c:spPr>
    </c:sideWall>
    <c:backWall>
      <c:thickness val="0"/>
      <c:spPr>
        <a:solidFill>
          <a:srgbClr val="C0C0C0"/>
        </a:solidFill>
        <a:ln>
          <a:noFill/>
        </a:ln>
      </c:spPr>
    </c:backWall>
    <c:plotArea>
      <c:layout/>
      <c:pie3DChart>
        <c:varyColors val="1"/>
        <c:ser>
          <c:idx val="0"/>
          <c:order val="0"/>
          <c:tx>
            <c:strRef>
              <c:f>'Sheet1 (3)'!$B$1</c:f>
              <c:strCache>
                <c:ptCount val="1"/>
                <c:pt idx="0">
                  <c:v>万元</c:v>
                </c:pt>
              </c:strCache>
            </c:strRef>
          </c:tx>
          <c:spPr>
            <a:solidFill>
              <a:srgbClr val="4F81BD"/>
            </a:solidFill>
          </c:spPr>
          <c:dPt>
            <c:idx val="0"/>
            <c:bubble3D val="0"/>
            <c:spPr>
              <a:solidFill>
                <a:srgbClr val="4F81BD"/>
              </a:solidFill>
            </c:spPr>
          </c:dPt>
          <c:dPt>
            <c:idx val="1"/>
            <c:bubble3D val="0"/>
            <c:spPr>
              <a:solidFill>
                <a:srgbClr val="C0504D"/>
              </a:solidFill>
            </c:spPr>
          </c:dPt>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1"/>
            <c:showCatName val="0"/>
            <c:showSerName val="0"/>
            <c:showPercent val="0"/>
            <c:showBubbleSize val="0"/>
            <c:showLeaderLines val="1"/>
          </c:dLbls>
          <c:cat>
            <c:strRef>
              <c:f>'Sheet1 (3)'!$A$2:$A$3</c:f>
              <c:strCache>
                <c:ptCount val="2"/>
                <c:pt idx="0">
                  <c:v>基本支出</c:v>
                </c:pt>
                <c:pt idx="1">
                  <c:v>项目支出</c:v>
                </c:pt>
              </c:strCache>
            </c:strRef>
          </c:cat>
          <c:val>
            <c:numRef>
              <c:f>'Sheet1 (3)'!$B$2:$B$3</c:f>
              <c:numCache>
                <c:formatCode>General</c:formatCode>
                <c:ptCount val="2"/>
                <c:pt idx="0">
                  <c:v>1630.71</c:v>
                </c:pt>
                <c:pt idx="1">
                  <c:v>430.89</c:v>
                </c:pt>
              </c:numCache>
            </c:numRef>
          </c:val>
        </c:ser>
        <c:gapDepth val="150"/>
        <c:firstSliceAng val="0"/>
      </c:pie3DChart>
      <c:spPr>
        <a:solidFill>
          <a:srgbClr val="C0C0C0"/>
        </a:solidFill>
        <a:ln>
          <a:noFill/>
        </a:ln>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a:t>财政拨款收、支决算总计变动情况</a:t>
            </a:r>
          </a:p>
        </c:rich>
      </c:tx>
      <c:layout/>
      <c:overlay val="0"/>
      <c:spPr>
        <a:ln>
          <a:noFill/>
        </a:ln>
      </c:spPr>
    </c:title>
    <c:autoTitleDeleted val="1"/>
    <c:plotArea>
      <c:layout/>
      <c:barChart>
        <c:barDir val="col"/>
        <c:grouping val="clustered"/>
        <c:varyColors val="0"/>
        <c:ser>
          <c:idx val="0"/>
          <c:order val="0"/>
          <c:tx>
            <c:strRef>
              <c:f>'Sheet1 (4)'!$B$1</c:f>
              <c:strCache>
                <c:ptCount val="1"/>
                <c:pt idx="0">
                  <c:v>万元</c:v>
                </c:pt>
              </c:strCache>
            </c:strRef>
          </c:tx>
          <c:spPr>
            <a:solidFill>
              <a:srgbClr val="4F81BD"/>
            </a:solidFill>
            <a:ln>
              <a:noFill/>
            </a:ln>
          </c:spPr>
          <c:invertIfNegative val="0"/>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1"/>
            <c:showCatName val="0"/>
            <c:showSerName val="0"/>
            <c:showPercent val="0"/>
            <c:showBubbleSize val="0"/>
            <c:showLeaderLines val="0"/>
          </c:dLbls>
          <c:cat>
            <c:numRef>
              <c:f>'Sheet1 (4)'!$A$2:$A$3</c:f>
              <c:numCache>
                <c:ptCount val="2"/>
                <c:pt idx="0">
                  <c:v>2021</c:v>
                </c:pt>
                <c:pt idx="1">
                  <c:v>2022</c:v>
                </c:pt>
              </c:numCache>
            </c:numRef>
          </c:cat>
          <c:val>
            <c:numRef>
              <c:f>'Sheet1 (4)'!$B$2:$B$3</c:f>
              <c:numCache>
                <c:formatCode>General</c:formatCode>
                <c:ptCount val="2"/>
                <c:pt idx="0">
                  <c:v>1448.99</c:v>
                </c:pt>
                <c:pt idx="1">
                  <c:v>2061.61</c:v>
                </c:pt>
              </c:numCache>
            </c:numRef>
          </c:val>
        </c:ser>
        <c:gapWidth val="150"/>
        <c:axId val="0"/>
        <c:axId val="1"/>
      </c:barChart>
      <c:catAx>
        <c:axId val="0"/>
        <c:scaling>
          <c:orientation val="minMax"/>
        </c:scaling>
        <c:delete val="0"/>
        <c:axPos val="b"/>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At val="1.0"/>
        <c:crossBetween val="between"/>
        <c:crossAx val="0"/>
      </c:valAx>
      <c:spPr>
        <a:solidFill>
          <a:srgbClr val="FFFFFF"/>
        </a:solidFill>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a:t>一般公共预算财政拨款支出决算变动情况</a:t>
            </a:r>
          </a:p>
        </c:rich>
      </c:tx>
      <c:layout/>
      <c:overlay val="0"/>
      <c:spPr>
        <a:ln>
          <a:noFill/>
        </a:ln>
      </c:spPr>
    </c:title>
    <c:autoTitleDeleted val="1"/>
    <c:plotArea>
      <c:layout/>
      <c:barChart>
        <c:barDir val="col"/>
        <c:grouping val="clustered"/>
        <c:varyColors val="0"/>
        <c:ser>
          <c:idx val="0"/>
          <c:order val="0"/>
          <c:tx>
            <c:strRef>
              <c:f>'Sheet1 (5)'!$B$1</c:f>
              <c:strCache>
                <c:ptCount val="1"/>
                <c:pt idx="0">
                  <c:v>万元</c:v>
                </c:pt>
              </c:strCache>
            </c:strRef>
          </c:tx>
          <c:spPr>
            <a:solidFill>
              <a:srgbClr val="4F81BD"/>
            </a:solidFill>
            <a:ln>
              <a:noFill/>
            </a:ln>
          </c:spPr>
          <c:invertIfNegative val="0"/>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1"/>
            <c:showCatName val="0"/>
            <c:showSerName val="0"/>
            <c:showPercent val="0"/>
            <c:showBubbleSize val="0"/>
            <c:showLeaderLines val="0"/>
          </c:dLbls>
          <c:cat>
            <c:strRef>
              <c:f>'Sheet1 (5)'!$A$2:$A$3</c:f>
              <c:strCache>
                <c:ptCount val="2"/>
                <c:pt idx="0">
                  <c:v>2021年</c:v>
                </c:pt>
                <c:pt idx="1">
                  <c:v>2022年</c:v>
                </c:pt>
              </c:strCache>
            </c:strRef>
          </c:cat>
          <c:val>
            <c:numRef>
              <c:f>'Sheet1 (5)'!$B$2:$B$3</c:f>
              <c:numCache>
                <c:formatCode>General</c:formatCode>
                <c:ptCount val="2"/>
                <c:pt idx="0">
                  <c:v>1440.12</c:v>
                </c:pt>
                <c:pt idx="1">
                  <c:v>2061.61</c:v>
                </c:pt>
              </c:numCache>
            </c:numRef>
          </c:val>
        </c:ser>
        <c:gapWidth val="150"/>
        <c:axId val="0"/>
        <c:axId val="1"/>
      </c:barChart>
      <c:catAx>
        <c:axId val="0"/>
        <c:scaling>
          <c:orientation val="minMax"/>
        </c:scaling>
        <c:delete val="0"/>
        <c:axPos val="b"/>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At val="1.0"/>
        <c:crossBetween val="between"/>
        <c:crossAx val="0"/>
      </c:valAx>
      <c:spPr>
        <a:solidFill>
          <a:srgbClr val="FFFFFF"/>
        </a:solidFill>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a:t>一般公共预算财政拨款支出决算结构</a:t>
            </a:r>
          </a:p>
        </c:rich>
      </c:tx>
      <c:layout/>
      <c:overlay val="0"/>
      <c:spPr>
        <a:ln>
          <a:noFill/>
        </a:ln>
      </c:spPr>
    </c:title>
    <c:autoTitleDeleted val="1"/>
    <c:view3D>
      <c:rotX val="30"/>
      <c:hPercent val="100"/>
      <c:rotY val="0"/>
      <c:depthPercent val="100"/>
      <c:rAngAx val="0"/>
      <c:perspective val="0"/>
    </c:view3D>
    <c:floor>
      <c:thickness val="0"/>
      <c:spPr>
        <a:ln>
          <a:noFill/>
        </a:ln>
      </c:spPr>
    </c:floor>
    <c:sideWall>
      <c:thickness val="0"/>
      <c:spPr>
        <a:ln>
          <a:noFill/>
        </a:ln>
      </c:spPr>
    </c:sideWall>
    <c:backWall>
      <c:thickness val="0"/>
      <c:spPr>
        <a:solidFill>
          <a:srgbClr val="C0C0C0"/>
        </a:solidFill>
        <a:ln>
          <a:noFill/>
        </a:ln>
      </c:spPr>
    </c:backWall>
    <c:plotArea>
      <c:layout/>
      <c:pie3DChart>
        <c:varyColors val="1"/>
        <c:ser>
          <c:idx val="0"/>
          <c:order val="0"/>
          <c:tx>
            <c:strRef>
              <c:f>'Sheet1 (6)'!$B$1</c:f>
              <c:strCache>
                <c:ptCount val="1"/>
                <c:pt idx="0">
                  <c:v>万元</c:v>
                </c:pt>
              </c:strCache>
            </c:strRef>
          </c:tx>
          <c:spPr>
            <a:solidFill>
              <a:srgbClr val="4F81BD"/>
            </a:solidFill>
          </c:spPr>
          <c:dPt>
            <c:idx val="0"/>
            <c:bubble3D val="0"/>
            <c:spPr>
              <a:solidFill>
                <a:srgbClr val="4F81BD"/>
              </a:solidFill>
            </c:spPr>
          </c:dPt>
          <c:dPt>
            <c:idx val="1"/>
            <c:bubble3D val="0"/>
            <c:spPr>
              <a:solidFill>
                <a:srgbClr val="C0504D"/>
              </a:solidFill>
            </c:spPr>
          </c:dPt>
          <c:dPt>
            <c:idx val="2"/>
            <c:bubble3D val="0"/>
            <c:spPr>
              <a:solidFill>
                <a:srgbClr val="9BBB59"/>
              </a:solidFill>
            </c:spPr>
          </c:dPt>
          <c:dPt>
            <c:idx val="3"/>
            <c:bubble3D val="0"/>
            <c:spPr>
              <a:solidFill>
                <a:srgbClr val="8064A2"/>
              </a:solidFill>
            </c:spPr>
          </c:dPt>
          <c:dPt>
            <c:idx val="4"/>
            <c:bubble3D val="0"/>
            <c:spPr>
              <a:solidFill>
                <a:srgbClr val="4BACC6"/>
              </a:solidFill>
            </c:spPr>
          </c:dPt>
          <c:dPt>
            <c:idx val="5"/>
            <c:bubble3D val="0"/>
            <c:spPr>
              <a:solidFill>
                <a:srgbClr val="F79646"/>
              </a:solidFill>
            </c:spPr>
          </c:dPt>
          <c:dPt>
            <c:idx val="6"/>
            <c:bubble3D val="0"/>
            <c:spPr>
              <a:solidFill>
                <a:srgbClr val="99B6D9"/>
              </a:solidFill>
            </c:spPr>
          </c:dPt>
          <c:dPt>
            <c:idx val="7"/>
            <c:bubble3D val="0"/>
            <c:spPr>
              <a:solidFill>
                <a:srgbClr val="DB9A98"/>
              </a:solidFill>
            </c:spPr>
          </c:dPt>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1"/>
            <c:showCatName val="0"/>
            <c:showSerName val="0"/>
            <c:showPercent val="0"/>
            <c:showBubbleSize val="0"/>
            <c:showLeaderLines val="1"/>
          </c:dLbls>
          <c:cat>
            <c:strRef>
              <c:f>'Sheet1 (6)'!$A$2:$A$9</c:f>
              <c:strCache>
                <c:ptCount val="8"/>
                <c:pt idx="0">
                  <c:v>一般公共服务支出</c:v>
                </c:pt>
                <c:pt idx="1">
                  <c:v>社会保障和就业支出</c:v>
                </c:pt>
                <c:pt idx="2">
                  <c:v>农林水支出</c:v>
                </c:pt>
                <c:pt idx="3">
                  <c:v>商业服务业等支出</c:v>
                </c:pt>
                <c:pt idx="4">
                  <c:v>住房保障支出</c:v>
                </c:pt>
                <c:pt idx="5">
                  <c:v>粮油物资储备支出</c:v>
                </c:pt>
              </c:strCache>
            </c:strRef>
          </c:cat>
          <c:val>
            <c:numRef>
              <c:f>'Sheet1 (6)'!$B$2:$B$9</c:f>
              <c:numCache>
                <c:formatCode>General</c:formatCode>
                <c:ptCount val="8"/>
                <c:pt idx="0">
                  <c:v>845.72</c:v>
                </c:pt>
                <c:pt idx="1">
                  <c:v>720.13</c:v>
                </c:pt>
                <c:pt idx="2">
                  <c:v>0.07</c:v>
                </c:pt>
                <c:pt idx="3">
                  <c:v>341.98</c:v>
                </c:pt>
                <c:pt idx="4">
                  <c:v>73.7</c:v>
                </c:pt>
                <c:pt idx="5">
                  <c:v>80.0</c:v>
                </c:pt>
              </c:numCache>
            </c:numRef>
          </c:val>
        </c:ser>
        <c:gapDepth val="150"/>
        <c:firstSliceAng val="0"/>
      </c:pie3DChart>
      <c:spPr>
        <a:solidFill>
          <a:srgbClr val="C0C0C0"/>
        </a:solidFill>
        <a:ln>
          <a:noFill/>
        </a:ln>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a:t>“三公”经费财政拨款支出结构</a:t>
            </a:r>
          </a:p>
        </c:rich>
      </c:tx>
      <c:layout/>
      <c:overlay val="0"/>
      <c:spPr>
        <a:ln>
          <a:noFill/>
        </a:ln>
      </c:spPr>
    </c:title>
    <c:autoTitleDeleted val="1"/>
    <c:view3D>
      <c:rotX val="30"/>
      <c:hPercent val="100"/>
      <c:rotY val="0"/>
      <c:depthPercent val="100"/>
      <c:rAngAx val="0"/>
      <c:perspective val="0"/>
    </c:view3D>
    <c:floor>
      <c:thickness val="0"/>
      <c:spPr>
        <a:ln>
          <a:noFill/>
        </a:ln>
      </c:spPr>
    </c:floor>
    <c:sideWall>
      <c:thickness val="0"/>
      <c:spPr>
        <a:ln>
          <a:noFill/>
        </a:ln>
      </c:spPr>
    </c:sideWall>
    <c:backWall>
      <c:thickness val="0"/>
      <c:spPr>
        <a:solidFill>
          <a:srgbClr val="C0C0C0"/>
        </a:solidFill>
        <a:ln>
          <a:noFill/>
        </a:ln>
      </c:spPr>
    </c:backWall>
    <c:plotArea>
      <c:layout/>
      <c:pie3DChart>
        <c:varyColors val="1"/>
        <c:ser>
          <c:idx val="0"/>
          <c:order val="0"/>
          <c:tx>
            <c:strRef>
              <c:f>'Sheet1 (7)'!$B$1</c:f>
              <c:strCache>
                <c:ptCount val="1"/>
                <c:pt idx="0">
                  <c:v>万元</c:v>
                </c:pt>
              </c:strCache>
            </c:strRef>
          </c:tx>
          <c:spPr>
            <a:solidFill>
              <a:srgbClr val="4F81BD"/>
            </a:solidFill>
          </c:spPr>
          <c:dPt>
            <c:idx val="0"/>
            <c:bubble3D val="0"/>
            <c:spPr>
              <a:solidFill>
                <a:srgbClr val="4F81BD"/>
              </a:solidFill>
            </c:spPr>
          </c:dPt>
          <c:dPt>
            <c:idx val="1"/>
            <c:bubble3D val="0"/>
            <c:spPr>
              <a:solidFill>
                <a:srgbClr val="C0504D"/>
              </a:solidFill>
            </c:spPr>
          </c:dPt>
          <c:dPt>
            <c:idx val="2"/>
            <c:bubble3D val="0"/>
            <c:spPr>
              <a:solidFill>
                <a:srgbClr val="9BBB59"/>
              </a:solidFill>
            </c:spPr>
          </c:dPt>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1"/>
            <c:showCatName val="0"/>
            <c:showSerName val="0"/>
            <c:showPercent val="0"/>
            <c:showBubbleSize val="0"/>
            <c:showLeaderLines val="1"/>
          </c:dLbls>
          <c:cat>
            <c:strRef>
              <c:f>'Sheet1 (7)'!$A$2:$A$4</c:f>
              <c:strCache>
                <c:ptCount val="3"/>
                <c:pt idx="0">
                  <c:v>因公出国费</c:v>
                </c:pt>
                <c:pt idx="1">
                  <c:v>公务用车购置及运行维护费</c:v>
                </c:pt>
                <c:pt idx="2">
                  <c:v>公务接待费</c:v>
                </c:pt>
              </c:strCache>
            </c:strRef>
          </c:cat>
          <c:val>
            <c:numRef>
              <c:f>'Sheet1 (7)'!$B$2:$B$4</c:f>
              <c:numCache>
                <c:formatCode>General</c:formatCode>
                <c:ptCount val="3"/>
                <c:pt idx="0">
                  <c:v>0.0</c:v>
                </c:pt>
                <c:pt idx="1">
                  <c:v>4.05</c:v>
                </c:pt>
                <c:pt idx="2">
                  <c:v>1.43</c:v>
                </c:pt>
              </c:numCache>
            </c:numRef>
          </c:val>
        </c:ser>
        <c:gapDepth val="150"/>
        <c:firstSliceAng val="0"/>
      </c:pie3DChart>
      <c:spPr>
        <a:solidFill>
          <a:srgbClr val="C0C0C0"/>
        </a:solidFill>
        <a:ln>
          <a:noFill/>
        </a:ln>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95D991AF-0D21-41BE-92E4-D7C3EA897B28}">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447</TotalTime>
  <Application>Yozo_Office27021597764231179</Application>
  <Pages>26</Pages>
  <Words>0</Words>
  <Characters>8201</Characters>
  <Lines>0</Lines>
  <Paragraphs>190</Paragraphs>
  <CharactersWithSpaces>10935</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39</cp:revision>
  <cp:lastPrinted>2023-08-03T02:35:00Z</cp:lastPrinted>
  <dcterms:created xsi:type="dcterms:W3CDTF">2024-09-05T08:49:00Z</dcterms:created>
  <dcterms:modified xsi:type="dcterms:W3CDTF">2024-09-19T02:04:09Z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2052-11.8.2.10125</vt:lpwstr>
  </property>
</Properties>
</file>