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96597"/>
      <w:bookmarkStart w:id="1" w:name="_Toc15377193"/>
      <w:bookmarkStart w:id="2" w:name="_Toc15377425"/>
      <w:bookmarkStart w:id="3" w:name="_Toc15378441"/>
      <w:bookmarkStart w:id="4" w:name="_Toc15396475"/>
      <w:bookmarkStart w:id="5" w:name="_Toc15306267"/>
    </w:p>
    <w:p>
      <w:pPr>
        <w:pStyle w:val="6"/>
        <w:spacing w:before="93" w:beforeLines="0"/>
        <w:rPr>
          <w:rFonts w:hint="default" w:ascii="Times New Roman" w:hAnsi="Times New Roman" w:cs="Times New Roman"/>
        </w:rPr>
      </w:pPr>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79" w:name="_GoBack"/>
      <w:bookmarkStart w:id="6" w:name="_Toc176943229"/>
      <w:r>
        <w:rPr>
          <w:rFonts w:hint="default" w:ascii="Times New Roman" w:hAnsi="Times New Roman" w:eastAsia="方正小标宋简体" w:cs="Times New Roman"/>
          <w:sz w:val="72"/>
          <w:szCs w:val="72"/>
        </w:rPr>
        <w:t>2023年度</w:t>
      </w:r>
      <w:bookmarkEnd w:id="0"/>
      <w:bookmarkEnd w:id="1"/>
      <w:bookmarkEnd w:id="2"/>
      <w:bookmarkEnd w:id="3"/>
      <w:bookmarkEnd w:id="4"/>
      <w:bookmarkEnd w:id="6"/>
    </w:p>
    <w:bookmarkEnd w:id="5"/>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7" w:name="_Toc15377426"/>
      <w:bookmarkStart w:id="8" w:name="_Toc15306268"/>
      <w:bookmarkStart w:id="9" w:name="_Toc15378442"/>
      <w:bookmarkStart w:id="10" w:name="_Toc15396598"/>
      <w:bookmarkStart w:id="11" w:name="_Toc176943230"/>
      <w:bookmarkStart w:id="12" w:name="_Toc15377194"/>
      <w:bookmarkStart w:id="13" w:name="_Toc15396476"/>
      <w:r>
        <w:rPr>
          <w:rFonts w:hint="default" w:ascii="Times New Roman" w:hAnsi="Times New Roman" w:eastAsia="方正小标宋简体" w:cs="Times New Roman"/>
          <w:sz w:val="72"/>
          <w:szCs w:val="72"/>
        </w:rPr>
        <w:t>攀枝花市商务局部门决算</w:t>
      </w:r>
      <w:bookmarkEnd w:id="7"/>
      <w:bookmarkEnd w:id="8"/>
      <w:bookmarkEnd w:id="9"/>
      <w:bookmarkEnd w:id="10"/>
      <w:bookmarkEnd w:id="11"/>
      <w:bookmarkEnd w:id="12"/>
      <w:bookmarkEnd w:id="13"/>
      <w:bookmarkEnd w:id="79"/>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2"/>
        <w:rPr>
          <w:rFonts w:hint="default" w:ascii="Times New Roman" w:hAnsi="Times New Roman" w:cs="Times New Roman"/>
        </w:rPr>
      </w:pPr>
      <w:r>
        <w:rPr>
          <w:rFonts w:hint="default" w:ascii="Times New Roman" w:hAnsi="Times New Roman" w:cs="Times New Roman"/>
        </w:rPr>
        <w:t>公开时间：2024年9月</w:t>
      </w:r>
      <w:r>
        <w:rPr>
          <w:rFonts w:hint="default" w:ascii="Times New Roman" w:hAnsi="Times New Roman" w:cs="Times New Roman"/>
        </w:rPr>
        <w:t>19</w:t>
      </w:r>
      <w:r>
        <w:rPr>
          <w:rFonts w:hint="default" w:ascii="Times New Roman" w:hAnsi="Times New Roman" w:cs="Times New Roman"/>
        </w:rPr>
        <w:t>日</w:t>
      </w:r>
    </w:p>
    <w:p>
      <w:pPr>
        <w:rPr>
          <w:rFonts w:hint="default" w:ascii="Times New Roman" w:hAnsi="Times New Roman" w:cs="Times New Roman"/>
        </w:rPr>
      </w:pPr>
    </w:p>
    <w:sdt>
      <w:sdtPr>
        <w:rPr>
          <w:rFonts w:hint="default" w:ascii="Times New Roman" w:hAnsi="Times New Roman" w:eastAsia="宋体" w:cs="Times New Roman"/>
          <w:b w:val="0"/>
          <w:bCs w:val="0"/>
          <w:color w:val="auto"/>
          <w:kern w:val="2"/>
          <w:sz w:val="21"/>
          <w:szCs w:val="24"/>
          <w:lang w:val="zh-CN"/>
        </w:rPr>
        <w:id w:val="-1"/>
        <w:docPartObj>
          <w:docPartGallery w:val="Table of Contents"/>
          <w:docPartUnique/>
        </w:docPartObj>
      </w:sdtPr>
      <w:sdtEndPr>
        <w:rPr>
          <w:rFonts w:hint="default" w:ascii="Times New Roman" w:hAnsi="Times New Roman" w:eastAsia="宋体" w:cs="Times New Roman"/>
          <w:b w:val="0"/>
          <w:bCs w:val="0"/>
          <w:color w:val="auto"/>
          <w:kern w:val="2"/>
          <w:sz w:val="21"/>
          <w:szCs w:val="24"/>
          <w:lang w:val="en-US"/>
        </w:rPr>
      </w:sdtEndPr>
      <w:sdtContent>
        <w:p>
          <w:pPr>
            <w:pStyle w:val="50"/>
            <w:rPr>
              <w:rFonts w:hint="default" w:ascii="Times New Roman" w:hAnsi="Times New Roman" w:eastAsia="宋体" w:cs="Times New Roman"/>
              <w:sz w:val="21"/>
              <w:szCs w:val="22"/>
            </w:rPr>
          </w:pPr>
          <w:bookmarkStart w:id="14" w:name="_Toc15377196"/>
          <w:bookmarkStart w:id="15" w:name="_Toc15396599"/>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p>
        <w:p>
          <w:pPr>
            <w:pStyle w:val="12"/>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"_Toc176943231"</w:instrText>
          </w:r>
          <w:r>
            <w:rPr>
              <w:rFonts w:hint="default" w:ascii="Times New Roman" w:hAnsi="Times New Roman" w:cs="Times New Roman"/>
            </w:rPr>
            <w:fldChar w:fldCharType="separate"/>
          </w:r>
          <w:r>
            <w:rPr>
              <w:rFonts w:hint="default" w:ascii="Times New Roman" w:hAnsi="Times New Roman" w:cs="Times New Roman"/>
              <w:b/>
              <w:sz w:val="32"/>
              <w:szCs w:val="32"/>
            </w:rPr>
            <w:t>第一部分</w:t>
          </w:r>
          <w:r>
            <w:rPr>
              <w:rFonts w:hint="default" w:ascii="Times New Roman" w:hAnsi="Times New Roman" w:cs="Times New Roman"/>
              <w:b/>
              <w:sz w:val="32"/>
              <w:szCs w:val="32"/>
            </w:rPr>
            <w:t xml:space="preserve"> </w:t>
          </w:r>
          <w:r>
            <w:rPr>
              <w:rFonts w:hint="default" w:ascii="Times New Roman" w:hAnsi="Times New Roman" w:cs="Times New Roman"/>
              <w:b/>
              <w:sz w:val="32"/>
              <w:szCs w:val="32"/>
            </w:rPr>
            <w:t>部门概况</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_Toc176943231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"_Toc176943232"</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一、部门职责</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_Toc176943232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"_Toc176943233"</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二、机构设置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_Toc176943233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2"/>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"_Toc176943234"</w:instrText>
          </w:r>
          <w:r>
            <w:rPr>
              <w:rFonts w:hint="default" w:ascii="Times New Roman" w:hAnsi="Times New Roman" w:cs="Times New Roman"/>
            </w:rPr>
            <w:fldChar w:fldCharType="separate"/>
          </w:r>
          <w:r>
            <w:rPr>
              <w:rFonts w:hint="default" w:ascii="Times New Roman" w:hAnsi="Times New Roman" w:cs="Times New Roman"/>
              <w:b/>
              <w:sz w:val="32"/>
              <w:szCs w:val="32"/>
            </w:rPr>
            <w:t>第二部分</w:t>
          </w:r>
          <w:r>
            <w:rPr>
              <w:rFonts w:hint="default" w:ascii="Times New Roman" w:hAnsi="Times New Roman" w:cs="Times New Roman"/>
              <w:b/>
              <w:sz w:val="32"/>
              <w:szCs w:val="32"/>
            </w:rPr>
            <w:t xml:space="preserve"> 2023</w:t>
          </w:r>
          <w:r>
            <w:rPr>
              <w:rFonts w:hint="default" w:ascii="Times New Roman" w:hAnsi="Times New Roman" w:cs="Times New Roman"/>
              <w:b/>
              <w:sz w:val="32"/>
              <w:szCs w:val="32"/>
            </w:rPr>
            <w:t>年度单位决算情况说明</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_Toc176943234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8</w:t>
          </w:r>
          <w:r>
            <w:rPr>
              <w:rFonts w:hint="default" w:ascii="Times New Roman" w:hAnsi="Times New Roman" w:cs="Times New Roman"/>
              <w:sz w:val="32"/>
              <w:szCs w:val="32"/>
            </w:rPr>
            <w:fldChar w:fldCharType="end"/>
          </w:r>
          <w:r>
            <w:rPr>
              <w:rFonts w:hint="default" w:ascii="Times New Roman" w:hAnsi="Times New Roman" w:cs="Times New Roman"/>
            </w:rPr>
            <w:fldChar w:fldCharType="end"/>
          </w:r>
        </w:p>
        <w:p>
          <w:pPr>
            <w:pStyle w:val="13"/>
            <w:tabs>
              <w:tab w:val="left" w:pos="1260"/>
            </w:tabs>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"_Toc176943235"</w:instrText>
          </w:r>
          <w:r>
            <w:rPr>
              <w:rFonts w:hint="default" w:ascii="Times New Roman" w:hAnsi="Times New Roman" w:cs="Times New Roman"/>
            </w:rPr>
            <w:fldChar w:fldCharType="separate"/>
          </w:r>
          <w:r>
            <w:rPr>
              <w:rFonts w:hint="default" w:ascii="Times New Roman" w:hAnsi="Times New Roman" w:eastAsia="仿宋" w:cs="Times New Roman"/>
              <w:bCs/>
              <w:sz w:val="32"/>
              <w:szCs w:val="32"/>
            </w:rPr>
            <w:t>一、</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收</w:t>
          </w:r>
          <w:r>
            <w:rPr>
              <w:rFonts w:hint="default" w:ascii="Times New Roman" w:hAnsi="Times New Roman" w:eastAsia="仿宋" w:cs="Times New Roman"/>
              <w:bCs/>
              <w:sz w:val="32"/>
              <w:szCs w:val="32"/>
            </w:rPr>
            <w:t>入支出决算总体情况说明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_Toc176943235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tabs>
              <w:tab w:val="left" w:pos="1260"/>
            </w:tabs>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"_Toc176943236"</w:instrText>
          </w:r>
          <w:r>
            <w:rPr>
              <w:rFonts w:hint="default" w:ascii="Times New Roman" w:hAnsi="Times New Roman" w:cs="Times New Roman"/>
            </w:rPr>
            <w:fldChar w:fldCharType="separate"/>
          </w:r>
          <w:r>
            <w:rPr>
              <w:rFonts w:hint="default" w:ascii="Times New Roman" w:hAnsi="Times New Roman" w:eastAsia="仿宋" w:cs="Times New Roman"/>
              <w:bCs/>
              <w:sz w:val="32"/>
              <w:szCs w:val="32"/>
            </w:rPr>
            <w:t>二、</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收</w:t>
          </w:r>
          <w:r>
            <w:rPr>
              <w:rFonts w:hint="default" w:ascii="Times New Roman" w:hAnsi="Times New Roman" w:eastAsia="仿宋" w:cs="Times New Roman"/>
              <w:bCs/>
              <w:sz w:val="32"/>
              <w:szCs w:val="32"/>
            </w:rPr>
            <w:t>入决算情况说明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_Toc176943236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tabs>
              <w:tab w:val="left" w:pos="1260"/>
            </w:tabs>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"_Toc176943238"</w:instrText>
          </w:r>
          <w:r>
            <w:rPr>
              <w:rFonts w:hint="default" w:ascii="Times New Roman" w:hAnsi="Times New Roman" w:cs="Times New Roman"/>
            </w:rPr>
            <w:fldChar w:fldCharType="separate"/>
          </w:r>
          <w:r>
            <w:rPr>
              <w:rFonts w:hint="default" w:ascii="Times New Roman" w:hAnsi="Times New Roman" w:eastAsia="仿宋" w:cs="Times New Roman"/>
              <w:bCs/>
              <w:sz w:val="32"/>
              <w:szCs w:val="32"/>
            </w:rPr>
            <w:t>三、</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支</w:t>
          </w:r>
          <w:r>
            <w:rPr>
              <w:rFonts w:hint="default" w:ascii="Times New Roman" w:hAnsi="Times New Roman" w:eastAsia="仿宋" w:cs="Times New Roman"/>
              <w:bCs/>
              <w:sz w:val="32"/>
              <w:szCs w:val="32"/>
            </w:rPr>
            <w:t>出决算情况说明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_Toc176943238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"_Toc176943240"</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四、财</w:t>
          </w:r>
          <w:r>
            <w:rPr>
              <w:rFonts w:hint="default" w:ascii="Times New Roman" w:hAnsi="Times New Roman" w:eastAsia="仿宋" w:cs="Times New Roman"/>
              <w:bCs/>
              <w:sz w:val="32"/>
              <w:szCs w:val="32"/>
            </w:rPr>
            <w:t>政拨款收入支出决算总体情况说明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"_Toc176943241"</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五、</w:t>
          </w:r>
          <w:r>
            <w:rPr>
              <w:rFonts w:hint="default" w:ascii="Times New Roman" w:hAnsi="Times New Roman" w:eastAsia="仿宋" w:cs="Times New Roman"/>
              <w:b/>
              <w:sz w:val="32"/>
              <w:szCs w:val="32"/>
            </w:rPr>
            <w:t>一</w:t>
          </w:r>
          <w:r>
            <w:rPr>
              <w:rFonts w:hint="default" w:ascii="Times New Roman" w:hAnsi="Times New Roman" w:eastAsia="仿宋" w:cs="Times New Roman"/>
              <w:bCs/>
              <w:sz w:val="32"/>
              <w:szCs w:val="32"/>
            </w:rPr>
            <w:t>般公共预算财政拨款支出决算情况说明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"_Toc176943242"</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（一）一般公共预算财政拨款支出决算总体情况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"_Toc176943243"</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（二）一般公共预算财政拨款支出决算结构情况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"_Toc176943244"</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（三）一般公共预算财政拨款支出决算具体情况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12</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"_Toc176943246"</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六</w:t>
          </w:r>
          <w:r>
            <w:rPr>
              <w:rFonts w:hint="default" w:ascii="Times New Roman" w:hAnsi="Times New Roman" w:eastAsia="仿宋" w:cs="Times New Roman"/>
              <w:b/>
              <w:sz w:val="32"/>
              <w:szCs w:val="32"/>
            </w:rPr>
            <w:t>、一</w:t>
          </w:r>
          <w:r>
            <w:rPr>
              <w:rFonts w:hint="default" w:ascii="Times New Roman" w:hAnsi="Times New Roman" w:eastAsia="仿宋" w:cs="Times New Roman"/>
              <w:bCs/>
              <w:sz w:val="32"/>
              <w:szCs w:val="32"/>
            </w:rPr>
            <w:t>般公共预算财政拨款基本支出决算情况说明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14</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"_Toc176943247"</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七、</w:t>
          </w:r>
          <w:r>
            <w:rPr>
              <w:rFonts w:hint="default" w:ascii="Times New Roman" w:hAnsi="Times New Roman" w:eastAsia="仿宋" w:cs="Times New Roman"/>
              <w:bCs/>
              <w:sz w:val="32"/>
              <w:szCs w:val="32"/>
            </w:rPr>
            <w:t>财政拨款</w:t>
          </w:r>
          <w:r>
            <w:rPr>
              <w:rFonts w:hint="default" w:ascii="Times New Roman" w:hAnsi="Times New Roman" w:eastAsia="仿宋" w:cs="Times New Roman"/>
              <w:sz w:val="32"/>
              <w:szCs w:val="32"/>
            </w:rPr>
            <w:t>“</w:t>
          </w:r>
          <w:r>
            <w:rPr>
              <w:rFonts w:hint="default" w:ascii="Times New Roman" w:hAnsi="Times New Roman" w:eastAsia="仿宋" w:cs="Times New Roman"/>
              <w:bCs/>
              <w:sz w:val="32"/>
              <w:szCs w:val="32"/>
            </w:rPr>
            <w:t>三公</w:t>
          </w:r>
          <w:r>
            <w:rPr>
              <w:rFonts w:hint="default" w:ascii="Times New Roman" w:hAnsi="Times New Roman" w:eastAsia="仿宋" w:cs="Times New Roman"/>
              <w:bCs/>
              <w:sz w:val="32"/>
              <w:szCs w:val="32"/>
            </w:rPr>
            <w:t>经费</w:t>
          </w:r>
          <w:r>
            <w:rPr>
              <w:rFonts w:hint="default" w:ascii="Times New Roman" w:hAnsi="Times New Roman" w:eastAsia="仿宋" w:cs="Times New Roman"/>
              <w:bCs/>
              <w:sz w:val="32"/>
              <w:szCs w:val="32"/>
            </w:rPr>
            <w:t>”支出决算情况说明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15</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"_Toc176943248"</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（一）“三公经费”财政拨款支出决算总体情况说明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15</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"_Toc176943249"</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（二）“三公经费”财政拨款支出决算具体情况说明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_Toc176943249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15</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"_Toc176943250"</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八、</w:t>
          </w:r>
          <w:r>
            <w:rPr>
              <w:rFonts w:hint="default" w:ascii="Times New Roman" w:hAnsi="Times New Roman" w:eastAsia="仿宋" w:cs="Times New Roman"/>
              <w:bCs/>
              <w:sz w:val="32"/>
              <w:szCs w:val="32"/>
            </w:rPr>
            <w:t>政府性基金预算支出决算情况说明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_Toc176943250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"_Toc176943251"</w:instrText>
          </w:r>
          <w:r>
            <w:rPr>
              <w:rFonts w:hint="default" w:ascii="Times New Roman" w:hAnsi="Times New Roman" w:cs="Times New Roman"/>
            </w:rPr>
            <w:fldChar w:fldCharType="separate"/>
          </w:r>
          <w:r>
            <w:rPr>
              <w:rFonts w:hint="default" w:ascii="Times New Roman" w:hAnsi="Times New Roman" w:eastAsia="仿宋" w:cs="Times New Roman"/>
              <w:bCs/>
              <w:sz w:val="32"/>
              <w:szCs w:val="32"/>
            </w:rPr>
            <w:t>九、 国有资本经营预算支出决算情况说明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_Toc176943251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3"/>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"_Toc176943252"</w:instrText>
          </w:r>
          <w:r>
            <w:rPr>
              <w:rFonts w:hint="default" w:ascii="Times New Roman" w:hAnsi="Times New Roman" w:cs="Times New Roman"/>
            </w:rPr>
            <w:fldChar w:fldCharType="separate"/>
          </w:r>
          <w:r>
            <w:rPr>
              <w:rFonts w:hint="default" w:ascii="Times New Roman" w:hAnsi="Times New Roman" w:eastAsia="仿宋" w:cs="Times New Roman"/>
              <w:bCs/>
              <w:sz w:val="32"/>
              <w:szCs w:val="32"/>
            </w:rPr>
            <w:t>十、 其他重要事项的情况说明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_Toc176943252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"_Toc176943253"</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（一）机关运行经费支出情况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_Toc176943253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"_Toc176943254"</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（二）政府采购支出情况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_Toc176943254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"_Toc176943255"</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（三）国有资产占有使用情况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_Toc176943255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8"/>
            <w:rPr>
              <w:rFonts w:hint="default" w:ascii="Times New Roman" w:hAnsi="Times New Roman" w:eastAsia="仿宋"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"_Toc176943256"</w:instrText>
          </w:r>
          <w:r>
            <w:rPr>
              <w:rFonts w:hint="default" w:ascii="Times New Roman" w:hAnsi="Times New Roman" w:cs="Times New Roman"/>
            </w:rPr>
            <w:fldChar w:fldCharType="separate"/>
          </w:r>
          <w:r>
            <w:rPr>
              <w:rFonts w:hint="default" w:ascii="Times New Roman" w:hAnsi="Times New Roman" w:eastAsia="仿宋" w:cs="Times New Roman"/>
              <w:sz w:val="32"/>
              <w:szCs w:val="32"/>
            </w:rPr>
            <w:t>（四）预算绩效管理情况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_Toc176943256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18</w:t>
          </w:r>
          <w:r>
            <w:rPr>
              <w:rFonts w:hint="default" w:ascii="Times New Roman" w:hAnsi="Times New Roman" w:eastAsia="仿宋" w:cs="Times New Roman"/>
              <w:sz w:val="32"/>
              <w:szCs w:val="32"/>
            </w:rPr>
            <w:fldChar w:fldCharType="end"/>
          </w:r>
          <w:r>
            <w:rPr>
              <w:rFonts w:hint="default" w:ascii="Times New Roman" w:hAnsi="Times New Roman" w:cs="Times New Roman"/>
            </w:rPr>
            <w:fldChar w:fldCharType="end"/>
          </w:r>
        </w:p>
        <w:p>
          <w:pPr>
            <w:pStyle w:val="12"/>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"_Toc176943257"</w:instrText>
          </w:r>
          <w:r>
            <w:rPr>
              <w:rFonts w:hint="default" w:ascii="Times New Roman" w:hAnsi="Times New Roman" w:cs="Times New Roman"/>
            </w:rPr>
            <w:fldChar w:fldCharType="separate"/>
          </w:r>
          <w:r>
            <w:rPr>
              <w:rFonts w:hint="default" w:ascii="Times New Roman" w:hAnsi="Times New Roman" w:cs="Times New Roman"/>
              <w:b/>
              <w:sz w:val="32"/>
              <w:szCs w:val="32"/>
            </w:rPr>
            <w:t>第三部分名词解释</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_Toc176943257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cs="Times New Roman"/>
            </w:rPr>
            <w:fldChar w:fldCharType="end"/>
          </w:r>
        </w:p>
        <w:p>
          <w:pPr>
            <w:pStyle w:val="12"/>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"_Toc176943258"</w:instrText>
          </w:r>
          <w:r>
            <w:rPr>
              <w:rFonts w:hint="default" w:ascii="Times New Roman" w:hAnsi="Times New Roman" w:cs="Times New Roman"/>
            </w:rPr>
            <w:fldChar w:fldCharType="separate"/>
          </w:r>
          <w:r>
            <w:rPr>
              <w:rFonts w:hint="default" w:ascii="Times New Roman" w:hAnsi="Times New Roman" w:cs="Times New Roman"/>
              <w:b/>
              <w:sz w:val="32"/>
              <w:szCs w:val="32"/>
            </w:rPr>
            <w:t>第四部分</w:t>
          </w:r>
          <w:r>
            <w:rPr>
              <w:rFonts w:hint="default" w:ascii="Times New Roman" w:hAnsi="Times New Roman" w:cs="Times New Roman"/>
              <w:b/>
              <w:sz w:val="32"/>
              <w:szCs w:val="32"/>
            </w:rPr>
            <w:t xml:space="preserve"> </w:t>
          </w:r>
          <w:r>
            <w:rPr>
              <w:rFonts w:hint="default" w:ascii="Times New Roman" w:hAnsi="Times New Roman" w:cs="Times New Roman"/>
              <w:b/>
              <w:sz w:val="32"/>
              <w:szCs w:val="32"/>
            </w:rPr>
            <w:t>附件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_Toc176943258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25</w:t>
          </w:r>
          <w:r>
            <w:rPr>
              <w:rFonts w:hint="default" w:ascii="Times New Roman" w:hAnsi="Times New Roman" w:cs="Times New Roman"/>
              <w:sz w:val="32"/>
              <w:szCs w:val="32"/>
            </w:rPr>
            <w:fldChar w:fldCharType="end"/>
          </w:r>
          <w:r>
            <w:rPr>
              <w:rFonts w:hint="default" w:ascii="Times New Roman" w:hAnsi="Times New Roman" w:cs="Times New Roman"/>
            </w:rPr>
            <w:fldChar w:fldCharType="end"/>
          </w:r>
        </w:p>
        <w:p>
          <w:pPr>
            <w:pStyle w:val="12"/>
            <w:rPr>
              <w:rFonts w:hint="default" w:ascii="Times New Roman" w:hAnsi="Times New Roman"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"_Toc176943259"</w:instrText>
          </w:r>
          <w:r>
            <w:rPr>
              <w:rFonts w:hint="default" w:ascii="Times New Roman" w:hAnsi="Times New Roman" w:cs="Times New Roman"/>
            </w:rPr>
            <w:fldChar w:fldCharType="separate"/>
          </w:r>
          <w:r>
            <w:rPr>
              <w:rFonts w:hint="default" w:ascii="Times New Roman" w:hAnsi="Times New Roman" w:cs="Times New Roman"/>
              <w:b/>
              <w:sz w:val="32"/>
              <w:szCs w:val="32"/>
            </w:rPr>
            <w:t>第五部分</w:t>
          </w:r>
          <w:r>
            <w:rPr>
              <w:rFonts w:hint="default" w:ascii="Times New Roman" w:hAnsi="Times New Roman" w:cs="Times New Roman"/>
              <w:b/>
              <w:sz w:val="32"/>
              <w:szCs w:val="32"/>
            </w:rPr>
            <w:t xml:space="preserve"> </w:t>
          </w:r>
          <w:r>
            <w:rPr>
              <w:rFonts w:hint="default" w:ascii="Times New Roman" w:hAnsi="Times New Roman" w:cs="Times New Roman"/>
              <w:b/>
              <w:sz w:val="32"/>
              <w:szCs w:val="32"/>
            </w:rPr>
            <w:t>附表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_Toc176943259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55</w:t>
          </w:r>
          <w:r>
            <w:rPr>
              <w:rFonts w:hint="default" w:ascii="Times New Roman" w:hAnsi="Times New Roman" w:cs="Times New Roman"/>
              <w:sz w:val="32"/>
              <w:szCs w:val="32"/>
            </w:rPr>
            <w:fldChar w:fldCharType="end"/>
          </w:r>
          <w:r>
            <w:rPr>
              <w:rFonts w:hint="default" w:ascii="Times New Roman" w:hAnsi="Times New Roman" w:cs="Times New Roman"/>
            </w:rPr>
            <w:fldChar w:fldCharType="end"/>
          </w:r>
        </w:p>
        <w:p>
          <w:pPr>
            <w:rPr>
              <w:rFonts w:hint="default" w:ascii="Times New Roman" w:hAnsi="Times New Roman" w:eastAsia="仿宋" w:cs="Times New Roman"/>
              <w:sz w:val="32"/>
              <w:szCs w:val="32"/>
            </w:rPr>
          </w:pPr>
          <w:r>
            <w:rPr>
              <w:rFonts w:hint="default" w:ascii="Times New Roman" w:hAnsi="Times New Roman" w:cs="Times New Roman"/>
            </w:rPr>
            <w:fldChar w:fldCharType="end"/>
          </w:r>
          <w:r>
            <w:rPr>
              <w:rFonts w:hint="default" w:ascii="Times New Roman" w:hAnsi="Times New Roman" w:eastAsia="仿宋" w:cs="Times New Roman"/>
              <w:sz w:val="32"/>
              <w:szCs w:val="32"/>
            </w:rPr>
            <w:t>一、收入支出决算总表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二、收入决算表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四、财政拨款收入支出决算总表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五、财政拨款支出决算明细表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六、一般公共预算财政拨款支出决算表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七、一般公共预算财政拨款支出决算明细表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八、一般公共预算财政拨款基本支出决算表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九、一般公共预算财政拨款项目支出决算表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十、政府性基金预算财政拨款收入支出决算表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十一、国有资本经营预算财政拨款收入支出决算表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十二、国有资本经营预算财政拨款支出决算表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十三、财政拨款“三公经费”支出决算表</w:t>
          </w:r>
        </w:p>
        <w:p>
          <w:pPr>
            <w:rPr>
              <w:rFonts w:hint="default" w:ascii="Times New Roman" w:hAnsi="Times New Roman" w:cs="Times New Roman"/>
            </w:rPr>
          </w:pPr>
        </w:p>
      </w:sdtContent>
    </w:sdt>
    <w:p>
      <w:pPr>
        <w:widowControl/>
        <w:jc w:val="left"/>
        <w:rPr>
          <w:rFonts w:hint="default" w:ascii="Times New Roman" w:hAnsi="Times New Roman" w:eastAsia="黑体" w:cs="Times New Roman"/>
          <w:bCs/>
          <w:kern w:val="44"/>
          <w:sz w:val="44"/>
          <w:szCs w:val="44"/>
        </w:rPr>
      </w:pPr>
      <w:r>
        <w:rPr>
          <w:rFonts w:hint="default" w:ascii="Times New Roman" w:hAnsi="Times New Roman" w:eastAsia="黑体" w:cs="Times New Roman"/>
          <w:b/>
        </w:rPr>
        <w:br w:type="page"/>
      </w:r>
    </w:p>
    <w:p>
      <w:pPr>
        <w:pStyle w:val="3"/>
        <w:ind w:left="360"/>
        <w:jc w:val="center"/>
        <w:rPr>
          <w:rStyle w:val="21"/>
          <w:rFonts w:hint="default" w:ascii="Times New Roman" w:hAnsi="Times New Roman" w:eastAsia="黑体" w:cs="Times New Roman"/>
          <w:b/>
          <w:bCs w:val="0"/>
        </w:rPr>
      </w:pPr>
      <w:bookmarkStart w:id="16" w:name="_Toc176943231"/>
      <w:r>
        <w:rPr>
          <w:rFonts w:hint="default" w:ascii="Times New Roman" w:hAnsi="Times New Roman" w:eastAsia="黑体" w:cs="Times New Roman"/>
          <w:b w:val="0"/>
        </w:rPr>
        <w:t xml:space="preserve">第一部分 </w:t>
      </w:r>
      <w:r>
        <w:rPr>
          <w:rStyle w:val="21"/>
          <w:rFonts w:hint="default" w:ascii="Times New Roman" w:hAnsi="Times New Roman" w:eastAsia="黑体" w:cs="Times New Roman"/>
          <w:b w:val="0"/>
          <w:bCs w:val="0"/>
        </w:rPr>
        <w:t>部门概况</w:t>
      </w:r>
      <w:bookmarkEnd w:id="14"/>
      <w:bookmarkEnd w:id="15"/>
      <w:bookmarkEnd w:id="16"/>
    </w:p>
    <w:p>
      <w:pPr>
        <w:pStyle w:val="4"/>
        <w:ind w:firstLine="640" w:firstLineChars="200"/>
        <w:rPr>
          <w:rFonts w:hint="default" w:ascii="Times New Roman" w:hAnsi="Times New Roman" w:eastAsia="黑体" w:cs="Times New Roman"/>
          <w:b w:val="0"/>
        </w:rPr>
      </w:pPr>
      <w:bookmarkStart w:id="17" w:name="_Toc176943232"/>
      <w:r>
        <w:rPr>
          <w:rFonts w:hint="default" w:ascii="Times New Roman" w:hAnsi="Times New Roman" w:eastAsia="黑体" w:cs="Times New Roman"/>
          <w:b w:val="0"/>
        </w:rPr>
        <w:t>一、部门职责</w:t>
      </w:r>
      <w:bookmarkEnd w:id="17"/>
    </w:p>
    <w:p>
      <w:pPr>
        <w:pStyle w:val="14"/>
        <w:spacing w:before="255" w:beforeAutospacing="0" w:after="255" w:afterAutospacing="0"/>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攀枝花市商务局是市政府工作职能部门，具体负责贯彻执行国家、省有关内外贸易、外商投资、对外经济合作的法律法规和方针政策，拟订并组织实施全市商务发展规划、计划和相关政策措施；承担指导和协调全市服务业发展的职责。推进流通产业结构调整，指导流通企业改革，加快商贸服务业、社区商业和第三方物流发展，推动流通标准化和连锁经营、商业特许经营、物流配送、电子商务等现代流通方式的发展；研究提出引导国内外资金投向市场体系建设的政策，编制大宗产品批发市场规划，指导城市商业网点规划和商业体系建设工作，推进农村市场体系建设，组织实施农村现代流通网络工程，促进城乡市场一体化发展；承担牵头协调全市整顿和规范市场经济秩序工作的责任，拟订规范市场运行和流通秩序的政策，推动商务领域信用建设，指导商业信用销售，建立市场诚信公共服务平台，按有关规定对特殊流通行业进行监督管理；负责重要消费品市场调控和重要生产资料流通监管，建立健全生活必需品市场供应应急管理机制，监测分析市场运行、商品供求状况，调查分析商品价格信息，进行预测预警和信息引导。按分工负责重要消费品储备管理和市场调控工作；拟订促进转变外贸增长方式的政策措施，指导对外贸易行业执行国家进出口商品、加工贸易管理办法和进出口管理商品、技术目录，组织实施重要工业品、原材料和重要农产品进出口总量计划，会同有关部门协调大宗进出口商品和出口加工区的业务工作，指导贸易促进活动和外贸促进体系建设；依法监督全市技术引进、设备进口、国家限制出口技术的工作，牵头负责发展服务贸易的相关工作，推动服务外包平台建设；承担组织协调反倾销、反补贴、保障措施和技术性贸易壁垒等与进出口公平贸易相关工作的责任，建立进出口公平贸易预警机制，牵头开展对外贸易调查、产业损害调查，指导协调产业安全应对和国外对我市出口商品的反倾销、反补贴、保障措施的应诉工作；参与拟订外商投资政策措施和改革方案并组织实施；指导协调市内国家级经开区和国（境）别产业园区工作；负责全市国际合作园区建设推进工作，指导国际合作园区的对外开放交流工作职责；负责全市对外经济合作工作，依法管理和监督境外承包工程、对外劳务合作和出境就业等，按规定承担境外投资管理的责任，牵头负责外派劳务和境外就业人员的权益保护工作，组织管理我市承担的国家对外援助任务，管理多双边对我市的无偿援助及赠款（不合财政合作项目下外国政府及国际金融组织对我市赠款）等发展合作业务；管理我市赴境外举办的各种商品交易会和经贸推介活动，指导和监督管理以攀枝花市名义在境内举办的各种交易会、展览会、展销会等活动；规划全市商务系统电子政务、公共商务信息服务体系建设并组织实施，推动电子商务发展。</w:t>
      </w:r>
    </w:p>
    <w:p>
      <w:pPr>
        <w:pStyle w:val="4"/>
        <w:ind w:firstLine="640" w:firstLineChars="200"/>
        <w:rPr>
          <w:rStyle w:val="22"/>
          <w:rFonts w:hint="default" w:ascii="Times New Roman" w:hAnsi="Times New Roman" w:cs="Times New Roman"/>
          <w:b w:val="0"/>
          <w:bCs w:val="0"/>
        </w:rPr>
      </w:pPr>
      <w:bookmarkStart w:id="18" w:name="_Toc176943233"/>
      <w:bookmarkStart w:id="19" w:name="_Toc15396601"/>
      <w:bookmarkStart w:id="20" w:name="_Toc15377200"/>
      <w:r>
        <w:rPr>
          <w:rFonts w:hint="default" w:ascii="Times New Roman" w:hAnsi="Times New Roman" w:eastAsia="黑体" w:cs="Times New Roman"/>
          <w:b w:val="0"/>
        </w:rPr>
        <w:t>二、</w:t>
      </w:r>
      <w:r>
        <w:rPr>
          <w:rFonts w:hint="default" w:ascii="Times New Roman" w:hAnsi="Times New Roman" w:eastAsia="黑体" w:cs="Times New Roman"/>
          <w:b w:val="0"/>
        </w:rPr>
        <w:t>机</w:t>
      </w:r>
      <w:r>
        <w:rPr>
          <w:rStyle w:val="22"/>
          <w:rFonts w:hint="default" w:ascii="Times New Roman" w:hAnsi="Times New Roman" w:eastAsia="黑体" w:cs="Times New Roman"/>
          <w:b w:val="0"/>
          <w:bCs w:val="0"/>
        </w:rPr>
        <w:t>构设置</w:t>
      </w:r>
      <w:bookmarkEnd w:id="18"/>
      <w:bookmarkEnd w:id="19"/>
      <w:bookmarkEnd w:id="20"/>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四川省攀枝花市商务局</w:t>
      </w:r>
      <w:r>
        <w:rPr>
          <w:rFonts w:hint="default" w:ascii="Times New Roman" w:hAnsi="Times New Roman" w:eastAsia="仿宋" w:cs="Times New Roman"/>
          <w:kern w:val="0"/>
          <w:sz w:val="32"/>
          <w:szCs w:val="32"/>
        </w:rPr>
        <w:t>年末独立编制机构</w:t>
      </w:r>
      <w:r>
        <w:rPr>
          <w:rFonts w:hint="default" w:ascii="Times New Roman" w:hAnsi="Times New Roman" w:eastAsia="仿宋" w:cs="Times New Roman"/>
          <w:kern w:val="0"/>
          <w:sz w:val="32"/>
          <w:szCs w:val="32"/>
        </w:rPr>
        <w:t>3</w:t>
      </w:r>
      <w:r>
        <w:rPr>
          <w:rFonts w:hint="default" w:ascii="Times New Roman" w:hAnsi="Times New Roman" w:eastAsia="仿宋" w:cs="Times New Roman"/>
          <w:kern w:val="0"/>
          <w:sz w:val="32"/>
          <w:szCs w:val="32"/>
        </w:rPr>
        <w:t>个（攀枝花</w:t>
      </w:r>
      <w:r>
        <w:rPr>
          <w:rFonts w:hint="default" w:ascii="Times New Roman" w:hAnsi="Times New Roman" w:eastAsia="仿宋" w:cs="Times New Roman"/>
          <w:sz w:val="32"/>
          <w:szCs w:val="32"/>
        </w:rPr>
        <w:t>市商务局、中国国际贸易促进委员会攀枝花市委员会、攀枝花市商贸流通服务中心），独立核算机构</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t>个，执行政府单位会计制度。</w:t>
      </w:r>
    </w:p>
    <w:p>
      <w:pPr>
        <w:pStyle w:val="2"/>
        <w:rPr>
          <w:rFonts w:hint="default" w:ascii="Times New Roman" w:hAnsi="Times New Roman" w:cs="Times New Roman"/>
        </w:rPr>
      </w:pPr>
    </w:p>
    <w:p>
      <w:pPr>
        <w:ind w:firstLine="800" w:firstLineChars="250"/>
        <w:rPr>
          <w:rFonts w:hint="default" w:ascii="Times New Roman" w:hAnsi="Times New Roman" w:eastAsia="仿宋" w:cs="Times New Roman"/>
          <w:sz w:val="32"/>
          <w:szCs w:val="32"/>
        </w:rPr>
      </w:pPr>
    </w:p>
    <w:p>
      <w:pPr>
        <w:pStyle w:val="6"/>
        <w:adjustRightInd w:val="0"/>
        <w:snapToGrid w:val="0"/>
        <w:spacing w:before="93" w:beforeLines="0" w:line="600" w:lineRule="exact"/>
        <w:ind w:left="1152"/>
        <w:outlineLvl w:val="2"/>
        <w:rPr>
          <w:rFonts w:hint="default" w:ascii="Times New Roman" w:hAnsi="Times New Roman" w:eastAsia="仿宋" w:cs="Times New Roman"/>
          <w:sz w:val="32"/>
          <w:szCs w:val="32"/>
        </w:rPr>
      </w:pPr>
    </w:p>
    <w:p>
      <w:pPr>
        <w:pStyle w:val="6"/>
        <w:adjustRightInd w:val="0"/>
        <w:snapToGrid w:val="0"/>
        <w:spacing w:before="93" w:beforeLines="0" w:line="600" w:lineRule="exact"/>
        <w:ind w:left="1152"/>
        <w:outlineLvl w:val="2"/>
        <w:rPr>
          <w:rFonts w:hint="default" w:ascii="Times New Roman" w:hAnsi="Times New Roman" w:eastAsia="仿宋" w:cs="Times New Roman"/>
          <w:sz w:val="32"/>
          <w:szCs w:val="32"/>
        </w:rPr>
      </w:pPr>
    </w:p>
    <w:p>
      <w:pPr>
        <w:pStyle w:val="6"/>
        <w:adjustRightInd w:val="0"/>
        <w:snapToGrid w:val="0"/>
        <w:spacing w:before="93" w:beforeLines="0" w:line="600" w:lineRule="exact"/>
        <w:ind w:left="1152"/>
        <w:outlineLvl w:val="2"/>
        <w:rPr>
          <w:rFonts w:hint="default" w:ascii="Times New Roman" w:hAnsi="Times New Roman" w:eastAsia="仿宋" w:cs="Times New Roman"/>
          <w:sz w:val="32"/>
          <w:szCs w:val="32"/>
        </w:rPr>
      </w:pPr>
    </w:p>
    <w:p>
      <w:pPr>
        <w:pStyle w:val="6"/>
        <w:adjustRightInd w:val="0"/>
        <w:snapToGrid w:val="0"/>
        <w:spacing w:before="93" w:beforeLines="0" w:line="600" w:lineRule="exact"/>
        <w:ind w:left="1152"/>
        <w:outlineLvl w:val="2"/>
        <w:rPr>
          <w:rFonts w:hint="default" w:ascii="Times New Roman" w:hAnsi="Times New Roman" w:eastAsia="仿宋" w:cs="Times New Roman"/>
          <w:sz w:val="32"/>
          <w:szCs w:val="32"/>
        </w:rPr>
      </w:pPr>
    </w:p>
    <w:p>
      <w:pPr>
        <w:pStyle w:val="6"/>
        <w:adjustRightInd w:val="0"/>
        <w:snapToGrid w:val="0"/>
        <w:spacing w:before="93" w:beforeLines="0" w:line="600" w:lineRule="exact"/>
        <w:ind w:left="1152"/>
        <w:outlineLvl w:val="2"/>
        <w:rPr>
          <w:rFonts w:hint="default" w:ascii="Times New Roman" w:hAnsi="Times New Roman" w:eastAsia="仿宋" w:cs="Times New Roman"/>
          <w:sz w:val="32"/>
          <w:szCs w:val="32"/>
        </w:rPr>
      </w:pPr>
    </w:p>
    <w:p>
      <w:pPr>
        <w:pStyle w:val="3"/>
        <w:spacing w:line="240" w:lineRule="auto"/>
        <w:ind w:right="440"/>
        <w:jc w:val="center"/>
        <w:rPr>
          <w:rFonts w:hint="default" w:ascii="Times New Roman" w:hAnsi="Times New Roman" w:eastAsia="黑体" w:cs="Times New Roman"/>
          <w:b w:val="0"/>
        </w:rPr>
      </w:pPr>
      <w:bookmarkStart w:id="21" w:name="_Toc15377204"/>
      <w:bookmarkStart w:id="22" w:name="_Toc15396602"/>
    </w:p>
    <w:p>
      <w:pPr>
        <w:pStyle w:val="3"/>
        <w:spacing w:line="240" w:lineRule="auto"/>
        <w:ind w:right="440"/>
        <w:jc w:val="center"/>
        <w:rPr>
          <w:rFonts w:hint="default" w:ascii="Times New Roman" w:hAnsi="Times New Roman" w:eastAsia="黑体" w:cs="Times New Roman"/>
          <w:b w:val="0"/>
        </w:rPr>
      </w:pPr>
    </w:p>
    <w:p>
      <w:pPr>
        <w:rPr>
          <w:rFonts w:hint="default" w:ascii="Times New Roman" w:hAnsi="Times New Roman" w:cs="Times New Roman"/>
        </w:rPr>
      </w:pPr>
    </w:p>
    <w:p>
      <w:pPr>
        <w:pStyle w:val="3"/>
        <w:spacing w:line="240" w:lineRule="auto"/>
        <w:ind w:right="440"/>
        <w:jc w:val="center"/>
        <w:rPr>
          <w:rStyle w:val="21"/>
          <w:rFonts w:hint="default" w:ascii="Times New Roman" w:hAnsi="Times New Roman" w:eastAsia="黑体" w:cs="Times New Roman"/>
          <w:b w:val="0"/>
          <w:bCs/>
        </w:rPr>
      </w:pPr>
      <w:bookmarkStart w:id="23" w:name="_Toc176943234"/>
      <w:r>
        <w:rPr>
          <w:rFonts w:hint="default" w:ascii="Times New Roman" w:hAnsi="Times New Roman" w:eastAsia="黑体" w:cs="Times New Roman"/>
          <w:b w:val="0"/>
        </w:rPr>
        <w:t>第二部分 2023年度</w:t>
      </w:r>
      <w:r>
        <w:rPr>
          <w:rStyle w:val="21"/>
          <w:rFonts w:hint="default" w:ascii="Times New Roman" w:hAnsi="Times New Roman" w:eastAsia="黑体" w:cs="Times New Roman"/>
          <w:b w:val="0"/>
          <w:bCs/>
        </w:rPr>
        <w:t>单位决算情况说明</w:t>
      </w:r>
      <w:bookmarkEnd w:id="21"/>
      <w:bookmarkEnd w:id="22"/>
      <w:bookmarkEnd w:id="23"/>
    </w:p>
    <w:p>
      <w:pPr>
        <w:rPr>
          <w:rFonts w:hint="default" w:ascii="Times New Roman" w:hAnsi="Times New Roman" w:cs="Times New Roman"/>
        </w:rPr>
      </w:pPr>
    </w:p>
    <w:p>
      <w:pPr>
        <w:pStyle w:val="27"/>
        <w:numPr>
          <w:ilvl w:val="0"/>
          <w:numId w:val="1"/>
        </w:numPr>
        <w:ind w:firstLineChars="0"/>
        <w:outlineLvl w:val="1"/>
        <w:rPr>
          <w:rStyle w:val="22"/>
          <w:rFonts w:hint="default" w:ascii="Times New Roman" w:hAnsi="Times New Roman" w:eastAsia="黑体" w:cs="Times New Roman"/>
          <w:b w:val="0"/>
        </w:rPr>
      </w:pPr>
      <w:bookmarkStart w:id="24" w:name="_Toc15377205"/>
      <w:bookmarkStart w:id="25" w:name="_Toc176943235"/>
      <w:bookmarkStart w:id="26" w:name="_Toc15396603"/>
      <w:r>
        <w:rPr>
          <w:rFonts w:hint="default" w:ascii="Times New Roman" w:hAnsi="Times New Roman" w:eastAsia="黑体" w:cs="Times New Roman"/>
          <w:sz w:val="32"/>
          <w:szCs w:val="32"/>
        </w:rPr>
        <w:t>收</w:t>
      </w:r>
      <w:r>
        <w:rPr>
          <w:rStyle w:val="22"/>
          <w:rFonts w:hint="default" w:ascii="Times New Roman" w:hAnsi="Times New Roman" w:eastAsia="黑体" w:cs="Times New Roman"/>
          <w:b w:val="0"/>
        </w:rPr>
        <w:t>入支出决算总体情况说明</w:t>
      </w:r>
      <w:bookmarkEnd w:id="24"/>
      <w:bookmarkEnd w:id="25"/>
      <w:bookmarkEnd w:id="26"/>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2023年度收、支总计均为</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万元。与2022年度相比，收、支总计各增加558.81万元，增长27.11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。主要变动原因是基本支出增加142.93万元，项目支出增加415.88万元。</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t>：收、支决算总计变动情况图）（柱状图）</w:t>
      </w:r>
    </w:p>
    <w:p>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274310" cy="3076575"/>
            <wp:effectExtent l="19050" t="0" r="21590" b="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7"/>
        <w:numPr>
          <w:ilvl w:val="0"/>
          <w:numId w:val="1"/>
        </w:numPr>
        <w:ind w:firstLineChars="0"/>
        <w:outlineLvl w:val="1"/>
        <w:rPr>
          <w:rStyle w:val="22"/>
          <w:rFonts w:hint="default" w:ascii="Times New Roman" w:hAnsi="Times New Roman" w:eastAsia="黑体" w:cs="Times New Roman"/>
          <w:b w:val="0"/>
        </w:rPr>
      </w:pPr>
      <w:bookmarkStart w:id="27" w:name="_Toc176943236"/>
      <w:bookmarkStart w:id="28" w:name="_Toc15377206"/>
      <w:bookmarkStart w:id="29" w:name="_Toc15396604"/>
      <w:r>
        <w:rPr>
          <w:rFonts w:hint="default" w:ascii="Times New Roman" w:hAnsi="Times New Roman" w:eastAsia="黑体" w:cs="Times New Roman"/>
          <w:sz w:val="32"/>
          <w:szCs w:val="32"/>
        </w:rPr>
        <w:t>收</w:t>
      </w:r>
      <w:r>
        <w:rPr>
          <w:rStyle w:val="22"/>
          <w:rFonts w:hint="default" w:ascii="Times New Roman" w:hAnsi="Times New Roman" w:eastAsia="黑体" w:cs="Times New Roman"/>
          <w:b w:val="0"/>
        </w:rPr>
        <w:t>入决算情况说明</w:t>
      </w:r>
      <w:bookmarkEnd w:id="27"/>
      <w:bookmarkEnd w:id="28"/>
      <w:bookmarkEnd w:id="29"/>
    </w:p>
    <w:p>
      <w:pPr>
        <w:ind w:firstLine="640" w:firstLineChars="200"/>
        <w:outlineLvl w:val="1"/>
        <w:rPr>
          <w:rFonts w:hint="default" w:ascii="Times New Roman" w:hAnsi="Times New Roman" w:eastAsia="仿宋" w:cs="Times New Roman"/>
          <w:b/>
          <w:sz w:val="32"/>
          <w:szCs w:val="32"/>
        </w:rPr>
      </w:pPr>
      <w:bookmarkStart w:id="30" w:name="_Toc176943237"/>
      <w:r>
        <w:rPr>
          <w:rFonts w:hint="default" w:ascii="Times New Roman" w:hAnsi="Times New Roman" w:eastAsia="仿宋" w:cs="Times New Roman"/>
          <w:sz w:val="32"/>
          <w:szCs w:val="32"/>
        </w:rPr>
        <w:t>2023年度本年收入合计</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万元，其中：一般公共预算财政拨款收入</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100%</w:t>
      </w:r>
      <w:r>
        <w:rPr>
          <w:rFonts w:hint="default" w:ascii="Times New Roman" w:hAnsi="Times New Roman" w:eastAsia="仿宋" w:cs="Times New Roman"/>
          <w:sz w:val="32"/>
          <w:szCs w:val="32"/>
        </w:rPr>
        <w:t>。</w:t>
      </w:r>
      <w:bookmarkEnd w:id="30"/>
    </w:p>
    <w:p>
      <w:pPr>
        <w:ind w:firstLine="640" w:firstLineChars="200"/>
        <w:outlineLvl w:val="1"/>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（图2：收入决算结构图）（饼状图）</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274310" cy="3076575"/>
            <wp:effectExtent l="19050" t="0" r="21590" b="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numPr>
          <w:ilvl w:val="0"/>
          <w:numId w:val="1"/>
        </w:numPr>
        <w:ind w:firstLineChars="0"/>
        <w:outlineLvl w:val="1"/>
        <w:rPr>
          <w:rStyle w:val="22"/>
          <w:rFonts w:hint="default" w:ascii="Times New Roman" w:hAnsi="Times New Roman" w:eastAsia="黑体" w:cs="Times New Roman"/>
          <w:b w:val="0"/>
        </w:rPr>
      </w:pPr>
      <w:bookmarkStart w:id="31" w:name="_Toc15396605"/>
      <w:bookmarkStart w:id="32" w:name="_Toc15377207"/>
      <w:bookmarkStart w:id="33" w:name="_Toc176943238"/>
      <w:r>
        <w:rPr>
          <w:rFonts w:hint="default" w:ascii="Times New Roman" w:hAnsi="Times New Roman" w:eastAsia="黑体" w:cs="Times New Roman"/>
          <w:sz w:val="32"/>
          <w:szCs w:val="32"/>
        </w:rPr>
        <w:t>支</w:t>
      </w:r>
      <w:r>
        <w:rPr>
          <w:rStyle w:val="22"/>
          <w:rFonts w:hint="default" w:ascii="Times New Roman" w:hAnsi="Times New Roman" w:eastAsia="黑体" w:cs="Times New Roman"/>
          <w:b w:val="0"/>
        </w:rPr>
        <w:t>出决算情况说明</w:t>
      </w:r>
      <w:bookmarkEnd w:id="31"/>
      <w:bookmarkEnd w:id="32"/>
      <w:bookmarkEnd w:id="33"/>
    </w:p>
    <w:p>
      <w:pPr>
        <w:ind w:firstLine="640" w:firstLineChars="200"/>
        <w:outlineLvl w:val="1"/>
        <w:rPr>
          <w:rFonts w:hint="default" w:ascii="Times New Roman" w:hAnsi="Times New Roman" w:eastAsia="仿宋" w:cs="Times New Roman"/>
          <w:sz w:val="32"/>
          <w:szCs w:val="32"/>
        </w:rPr>
      </w:pPr>
      <w:bookmarkStart w:id="34" w:name="_Toc176943239"/>
      <w:r>
        <w:rPr>
          <w:rFonts w:hint="default" w:ascii="Times New Roman" w:hAnsi="Times New Roman" w:eastAsia="仿宋" w:cs="Times New Roman"/>
          <w:sz w:val="32"/>
          <w:szCs w:val="32"/>
        </w:rPr>
        <w:t>2023年度本年支出合计</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万元，其中：基本支出</w:t>
      </w:r>
      <w:r>
        <w:rPr>
          <w:rFonts w:hint="default" w:ascii="Times New Roman" w:hAnsi="Times New Roman" w:eastAsia="仿宋" w:cs="Times New Roman"/>
          <w:b/>
          <w:sz w:val="32"/>
          <w:szCs w:val="32"/>
        </w:rPr>
        <w:t>1773.64</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67.68</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；项目支出</w:t>
      </w:r>
      <w:r>
        <w:rPr>
          <w:rFonts w:hint="default" w:ascii="Times New Roman" w:hAnsi="Times New Roman" w:eastAsia="仿宋" w:cs="Times New Roman"/>
          <w:b/>
          <w:sz w:val="32"/>
          <w:szCs w:val="32"/>
        </w:rPr>
        <w:t>846.78</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32.31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bookmarkEnd w:id="34"/>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（图3：支出决算结构图）（饼状图）</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274310" cy="3076575"/>
            <wp:effectExtent l="19050" t="0" r="21590" b="0"/>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firstLineChars="200"/>
        <w:outlineLvl w:val="1"/>
        <w:rPr>
          <w:rStyle w:val="22"/>
          <w:rFonts w:hint="default" w:ascii="Times New Roman" w:hAnsi="Times New Roman" w:eastAsia="黑体" w:cs="Times New Roman"/>
          <w:b w:val="0"/>
        </w:rPr>
      </w:pPr>
      <w:bookmarkStart w:id="35" w:name="_Toc15377208"/>
      <w:bookmarkStart w:id="36" w:name="_Toc15396606"/>
      <w:bookmarkStart w:id="37" w:name="_Toc176943240"/>
      <w:r>
        <w:rPr>
          <w:rFonts w:hint="default" w:ascii="Times New Roman" w:hAnsi="Times New Roman" w:eastAsia="黑体" w:cs="Times New Roman"/>
          <w:sz w:val="32"/>
          <w:szCs w:val="32"/>
        </w:rPr>
        <w:t>四、财</w:t>
      </w:r>
      <w:r>
        <w:rPr>
          <w:rStyle w:val="22"/>
          <w:rFonts w:hint="default" w:ascii="Times New Roman" w:hAnsi="Times New Roman" w:eastAsia="黑体" w:cs="Times New Roman"/>
          <w:b w:val="0"/>
        </w:rPr>
        <w:t>政拨款收入支出决算总体情况说明</w:t>
      </w:r>
      <w:bookmarkEnd w:id="35"/>
      <w:bookmarkEnd w:id="36"/>
      <w:bookmarkEnd w:id="37"/>
    </w:p>
    <w:p>
      <w:pPr>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2023年度财政拨款收、支总计均为</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万元。与2022年度相比，财政拨款收、支总计各增加558.81万元，增长27.11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sz w:val="32"/>
          <w:szCs w:val="32"/>
        </w:rPr>
        <w:t>一般公共预算财政拨款收、支增加558.81万元。</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（图4：财政拨款收、支决算总计变动情况）（柱状图）</w:t>
      </w:r>
    </w:p>
    <w:p>
      <w:pPr>
        <w:ind w:firstLine="64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drawing>
          <wp:inline distT="0" distB="0" distL="0" distR="0">
            <wp:extent cx="5274310" cy="3076575"/>
            <wp:effectExtent l="19050" t="0" r="21590" b="0"/>
            <wp:docPr id="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outlineLvl w:val="1"/>
        <w:rPr>
          <w:rStyle w:val="22"/>
          <w:rFonts w:hint="default" w:ascii="Times New Roman" w:hAnsi="Times New Roman" w:eastAsia="黑体" w:cs="Times New Roman"/>
          <w:b w:val="0"/>
        </w:rPr>
      </w:pPr>
      <w:bookmarkStart w:id="38" w:name="_Toc15377209"/>
      <w:bookmarkStart w:id="39" w:name="_Toc15396607"/>
      <w:bookmarkStart w:id="40" w:name="_Toc176943241"/>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2"/>
          <w:rFonts w:hint="default" w:ascii="Times New Roman" w:hAnsi="Times New Roman" w:eastAsia="黑体" w:cs="Times New Roman"/>
          <w:b w:val="0"/>
        </w:rPr>
        <w:t>般公共预算财政拨款支出决算情况说明</w:t>
      </w:r>
      <w:bookmarkEnd w:id="38"/>
      <w:bookmarkEnd w:id="39"/>
      <w:bookmarkEnd w:id="40"/>
    </w:p>
    <w:p>
      <w:pPr>
        <w:ind w:firstLine="642" w:firstLineChars="200"/>
        <w:outlineLvl w:val="2"/>
        <w:rPr>
          <w:rFonts w:hint="default" w:ascii="Times New Roman" w:hAnsi="Times New Roman" w:eastAsia="仿宋" w:cs="Times New Roman"/>
          <w:b/>
          <w:sz w:val="32"/>
          <w:szCs w:val="32"/>
        </w:rPr>
      </w:pPr>
      <w:bookmarkStart w:id="41" w:name="_Toc15377210"/>
      <w:bookmarkStart w:id="42" w:name="_Toc176943242"/>
      <w:r>
        <w:rPr>
          <w:rFonts w:hint="default" w:ascii="Times New Roman" w:hAnsi="Times New Roman" w:eastAsia="仿宋" w:cs="Times New Roman"/>
          <w:b/>
          <w:sz w:val="32"/>
          <w:szCs w:val="32"/>
        </w:rPr>
        <w:t>（一）一般公共预算财政拨款支出决算总体情况</w:t>
      </w:r>
      <w:bookmarkEnd w:id="41"/>
      <w:bookmarkEnd w:id="42"/>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2023年度一般公共预算财政拨款支出</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万元，占本年支出合计的</w:t>
      </w:r>
      <w:r>
        <w:rPr>
          <w:rFonts w:hint="default" w:ascii="Times New Roman" w:hAnsi="Times New Roman" w:eastAsia="仿宋" w:cs="Times New Roman"/>
          <w:b/>
          <w:sz w:val="32"/>
          <w:szCs w:val="32"/>
        </w:rPr>
        <w:t>100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。与2022年度相比，一般公共预算财政拨款支出增加558.81万元，增长27.11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。主要变动原因是基本支出增加142.93万元，项目支出增加415.88万元。</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（图5：一般公共预算财政拨款支出决算变动情况）（柱状图）</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0" distR="0">
            <wp:extent cx="5274310" cy="3076575"/>
            <wp:effectExtent l="19050" t="0" r="21590" b="0"/>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2" w:firstLineChars="200"/>
        <w:outlineLvl w:val="2"/>
        <w:rPr>
          <w:rFonts w:hint="default" w:ascii="Times New Roman" w:hAnsi="Times New Roman" w:eastAsia="仿宋" w:cs="Times New Roman"/>
          <w:b/>
          <w:sz w:val="32"/>
          <w:szCs w:val="32"/>
        </w:rPr>
      </w:pPr>
      <w:bookmarkStart w:id="43" w:name="_Toc15377211"/>
      <w:bookmarkStart w:id="44" w:name="_Toc176943243"/>
      <w:r>
        <w:rPr>
          <w:rFonts w:hint="default" w:ascii="Times New Roman" w:hAnsi="Times New Roman" w:eastAsia="仿宋" w:cs="Times New Roman"/>
          <w:b/>
          <w:sz w:val="32"/>
          <w:szCs w:val="32"/>
        </w:rPr>
        <w:t>（二）一般公共预算财政拨款支出决算结构情况</w:t>
      </w:r>
      <w:bookmarkEnd w:id="43"/>
      <w:bookmarkEnd w:id="44"/>
    </w:p>
    <w:p>
      <w:pPr>
        <w:ind w:firstLine="640"/>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2023年度一般公共预算财政拨款支出</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万元，主要用于以下方面</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一般公共服务</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844.19万元，占32.21</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社会保障和就业</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828.84万元，占31.62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卫生健康支出</w:t>
      </w:r>
      <w:r>
        <w:rPr>
          <w:rFonts w:hint="default" w:ascii="Times New Roman" w:hAnsi="Times New Roman" w:eastAsia="仿宋" w:cs="Times New Roman"/>
          <w:sz w:val="32"/>
          <w:szCs w:val="32"/>
        </w:rPr>
        <w:t>59.38万元，占2.27</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农林水支出</w:t>
      </w:r>
      <w:r>
        <w:rPr>
          <w:rFonts w:hint="default" w:ascii="Times New Roman" w:hAnsi="Times New Roman" w:eastAsia="仿宋" w:cs="Times New Roman"/>
          <w:sz w:val="32"/>
          <w:szCs w:val="32"/>
        </w:rPr>
        <w:t>11.52万元，占0.44</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资源勘探工业信息等支出16.92</w:t>
      </w:r>
      <w:r>
        <w:rPr>
          <w:rFonts w:hint="default" w:ascii="Times New Roman" w:hAnsi="Times New Roman" w:eastAsia="仿宋" w:cs="Times New Roman"/>
          <w:sz w:val="32"/>
          <w:szCs w:val="32"/>
        </w:rPr>
        <w:t>万元，占0.65</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商业服务业等支出759.59万元，占28.99</w:t>
      </w:r>
      <w:r>
        <w:rPr>
          <w:rFonts w:hint="default" w:ascii="Times New Roman" w:hAnsi="Times New Roman" w:eastAsia="仿宋" w:cs="Times New Roman"/>
          <w:b/>
          <w:bCs/>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住房保障支出</w:t>
      </w:r>
      <w:r>
        <w:rPr>
          <w:rFonts w:hint="default" w:ascii="Times New Roman" w:hAnsi="Times New Roman" w:eastAsia="仿宋" w:cs="Times New Roman"/>
          <w:sz w:val="32"/>
          <w:szCs w:val="32"/>
        </w:rPr>
        <w:t>75.98万元，占2.9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粮油物资储备支出24万元</w:t>
      </w:r>
      <w:r>
        <w:rPr>
          <w:rFonts w:hint="default" w:ascii="Times New Roman" w:hAnsi="Times New Roman" w:eastAsia="仿宋" w:cs="Times New Roman"/>
          <w:sz w:val="32"/>
          <w:szCs w:val="32"/>
        </w:rPr>
        <w:t>，占0.92%。</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（图6：一般公共预算财政拨款支出决算结构）（饼状图）</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drawing>
          <wp:inline distT="0" distB="0" distL="0" distR="0">
            <wp:extent cx="5274310" cy="3076575"/>
            <wp:effectExtent l="19050" t="0" r="21590" b="0"/>
            <wp:docPr id="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2" w:firstLineChars="200"/>
        <w:outlineLvl w:val="2"/>
        <w:rPr>
          <w:rFonts w:hint="default" w:ascii="Times New Roman" w:hAnsi="Times New Roman" w:eastAsia="仿宋" w:cs="Times New Roman"/>
          <w:b/>
          <w:sz w:val="32"/>
          <w:szCs w:val="32"/>
        </w:rPr>
      </w:pPr>
      <w:bookmarkStart w:id="45" w:name="_Toc176943244"/>
      <w:bookmarkStart w:id="46" w:name="_Toc15377212"/>
      <w:r>
        <w:rPr>
          <w:rFonts w:hint="default" w:ascii="Times New Roman" w:hAnsi="Times New Roman" w:eastAsia="仿宋" w:cs="Times New Roman"/>
          <w:b/>
          <w:sz w:val="32"/>
          <w:szCs w:val="32"/>
        </w:rPr>
        <w:t>（三）一般公共预算财政拨款支出决算具体情况</w:t>
      </w:r>
      <w:bookmarkEnd w:id="45"/>
      <w:bookmarkEnd w:id="46"/>
    </w:p>
    <w:p>
      <w:pPr>
        <w:ind w:firstLine="642" w:firstLineChars="200"/>
        <w:outlineLvl w:val="2"/>
        <w:rPr>
          <w:rFonts w:hint="default" w:ascii="Times New Roman" w:hAnsi="Times New Roman" w:eastAsia="仿宋" w:cs="Times New Roman"/>
          <w:sz w:val="32"/>
          <w:szCs w:val="32"/>
        </w:rPr>
      </w:pPr>
      <w:bookmarkStart w:id="47" w:name="_Toc15377444"/>
      <w:bookmarkStart w:id="48" w:name="_Toc15378460"/>
      <w:bookmarkStart w:id="49" w:name="_Toc15377213"/>
      <w:bookmarkStart w:id="50" w:name="_Toc176943245"/>
      <w:r>
        <w:rPr>
          <w:rFonts w:hint="default" w:ascii="Times New Roman" w:hAnsi="Times New Roman" w:eastAsia="仿宋" w:cs="Times New Roman"/>
          <w:b/>
          <w:sz w:val="32"/>
          <w:szCs w:val="32"/>
        </w:rPr>
        <w:t>2023年度一般公共预算支出决算数为</w:t>
      </w:r>
      <w:r>
        <w:rPr>
          <w:rFonts w:hint="default" w:ascii="Times New Roman" w:hAnsi="Times New Roman" w:eastAsia="仿宋" w:cs="Times New Roman"/>
          <w:b/>
          <w:sz w:val="32"/>
          <w:szCs w:val="32"/>
        </w:rPr>
        <w:t>2620.42</w:t>
      </w:r>
      <w:r>
        <w:rPr>
          <w:rFonts w:hint="default" w:ascii="Times New Roman" w:hAnsi="Times New Roman" w:eastAsia="仿宋" w:cs="Times New Roman"/>
          <w:sz w:val="32"/>
          <w:szCs w:val="32"/>
        </w:rPr>
        <w:t>，</w:t>
      </w:r>
      <w:r>
        <w:rPr>
          <w:rStyle w:val="18"/>
          <w:rFonts w:hint="default" w:ascii="Times New Roman" w:hAnsi="Times New Roman" w:eastAsia="仿宋" w:cs="Times New Roman"/>
          <w:bCs/>
          <w:sz w:val="32"/>
          <w:szCs w:val="32"/>
        </w:rPr>
        <w:t>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。其中：</w:t>
      </w:r>
      <w:bookmarkEnd w:id="47"/>
      <w:bookmarkEnd w:id="48"/>
      <w:bookmarkEnd w:id="49"/>
      <w:bookmarkEnd w:id="50"/>
    </w:p>
    <w:p>
      <w:pPr>
        <w:adjustRightInd w:val="0"/>
        <w:ind w:firstLine="642" w:firstLineChars="200"/>
        <w:rPr>
          <w:rFonts w:hint="default" w:ascii="Times New Roman" w:hAnsi="Times New Roman" w:eastAsia="仿宋" w:cs="Times New Roman"/>
          <w:b/>
          <w:sz w:val="32"/>
          <w:szCs w:val="32"/>
        </w:rPr>
      </w:pPr>
      <w:r>
        <w:rPr>
          <w:rStyle w:val="18"/>
          <w:rFonts w:hint="default" w:ascii="Times New Roman" w:hAnsi="Times New Roman" w:eastAsia="仿宋" w:cs="Times New Roman"/>
          <w:bCs/>
          <w:sz w:val="32"/>
          <w:szCs w:val="32"/>
        </w:rPr>
        <w:t>1.</w:t>
      </w:r>
      <w:r>
        <w:rPr>
          <w:rStyle w:val="18"/>
          <w:rFonts w:hint="default" w:ascii="Times New Roman" w:hAnsi="Times New Roman" w:eastAsia="仿宋" w:cs="Times New Roman"/>
          <w:bCs/>
          <w:sz w:val="32"/>
          <w:szCs w:val="32"/>
        </w:rPr>
        <w:t>一般公共服务（类）商贸事物（款）行政运行（项）</w:t>
      </w:r>
      <w:r>
        <w:rPr>
          <w:rStyle w:val="18"/>
          <w:rFonts w:hint="default" w:ascii="Times New Roman" w:hAnsi="Times New Roman" w:eastAsia="仿宋" w:cs="Times New Roman"/>
          <w:bCs/>
          <w:sz w:val="32"/>
          <w:szCs w:val="32"/>
        </w:rPr>
        <w:t xml:space="preserve">: </w:t>
      </w:r>
      <w:r>
        <w:rPr>
          <w:rStyle w:val="18"/>
          <w:rFonts w:hint="default" w:ascii="Times New Roman" w:hAnsi="Times New Roman" w:eastAsia="仿宋" w:cs="Times New Roman"/>
          <w:bCs/>
          <w:sz w:val="32"/>
          <w:szCs w:val="32"/>
        </w:rPr>
        <w:t>支出决算为686.17万元，完成预算100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Fonts w:hint="default" w:ascii="Times New Roman" w:hAnsi="Times New Roman" w:eastAsia="仿宋" w:cs="Times New Roman"/>
          <w:b/>
          <w:sz w:val="32"/>
          <w:szCs w:val="32"/>
        </w:rPr>
      </w:pPr>
      <w:r>
        <w:rPr>
          <w:rStyle w:val="18"/>
          <w:rFonts w:hint="default" w:ascii="Times New Roman" w:hAnsi="Times New Roman" w:eastAsia="仿宋" w:cs="Times New Roman"/>
          <w:bCs/>
          <w:sz w:val="32"/>
          <w:szCs w:val="32"/>
        </w:rPr>
        <w:t>2.</w:t>
      </w:r>
      <w:r>
        <w:rPr>
          <w:rStyle w:val="18"/>
          <w:rFonts w:hint="default" w:ascii="Times New Roman" w:hAnsi="Times New Roman" w:eastAsia="仿宋" w:cs="Times New Roman"/>
          <w:bCs/>
          <w:sz w:val="32"/>
          <w:szCs w:val="32"/>
        </w:rPr>
        <w:t xml:space="preserve"> 一般公共服务（类）商贸事物（款）事业运行（项）：</w:t>
      </w:r>
      <w:r>
        <w:rPr>
          <w:rStyle w:val="18"/>
          <w:rFonts w:hint="default" w:ascii="Times New Roman" w:hAnsi="Times New Roman" w:eastAsia="仿宋" w:cs="Times New Roman"/>
          <w:bCs/>
          <w:sz w:val="32"/>
          <w:szCs w:val="32"/>
        </w:rPr>
        <w:t xml:space="preserve"> </w:t>
      </w:r>
      <w:r>
        <w:rPr>
          <w:rStyle w:val="18"/>
          <w:rFonts w:hint="default" w:ascii="Times New Roman" w:hAnsi="Times New Roman" w:eastAsia="仿宋" w:cs="Times New Roman"/>
          <w:bCs/>
          <w:sz w:val="32"/>
          <w:szCs w:val="32"/>
        </w:rPr>
        <w:t>支出决算为124.13万元，完成预算100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Fonts w:hint="default" w:ascii="Times New Roman" w:hAnsi="Times New Roman" w:eastAsia="仿宋" w:cs="Times New Roman"/>
          <w:b/>
          <w:sz w:val="32"/>
          <w:szCs w:val="32"/>
        </w:rPr>
      </w:pPr>
      <w:r>
        <w:rPr>
          <w:rStyle w:val="18"/>
          <w:rFonts w:hint="default" w:ascii="Times New Roman" w:hAnsi="Times New Roman" w:eastAsia="仿宋" w:cs="Times New Roman"/>
          <w:bCs/>
          <w:sz w:val="32"/>
          <w:szCs w:val="32"/>
        </w:rPr>
        <w:t>3.</w:t>
      </w:r>
      <w:r>
        <w:rPr>
          <w:rStyle w:val="18"/>
          <w:rFonts w:hint="default" w:ascii="Times New Roman" w:hAnsi="Times New Roman" w:eastAsia="仿宋" w:cs="Times New Roman"/>
          <w:bCs/>
          <w:sz w:val="32"/>
          <w:szCs w:val="32"/>
        </w:rPr>
        <w:t xml:space="preserve"> 一般公共服务（类）商贸事物（款）其他商贸事务支出（项）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支出决算为30.69万元，完成预算100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Fonts w:hint="default" w:ascii="Times New Roman" w:hAnsi="Times New Roman" w:eastAsia="仿宋" w:cs="Times New Roman"/>
          <w:b/>
          <w:sz w:val="32"/>
          <w:szCs w:val="32"/>
        </w:rPr>
      </w:pPr>
      <w:r>
        <w:rPr>
          <w:rStyle w:val="18"/>
          <w:rFonts w:hint="default" w:ascii="Times New Roman" w:hAnsi="Times New Roman" w:eastAsia="仿宋" w:cs="Times New Roman"/>
          <w:bCs/>
          <w:sz w:val="32"/>
          <w:szCs w:val="32"/>
        </w:rPr>
        <w:t>4.</w:t>
      </w:r>
      <w:r>
        <w:rPr>
          <w:rStyle w:val="18"/>
          <w:rFonts w:hint="default" w:ascii="Times New Roman" w:hAnsi="Times New Roman" w:eastAsia="仿宋" w:cs="Times New Roman"/>
          <w:bCs/>
          <w:sz w:val="32"/>
          <w:szCs w:val="32"/>
        </w:rPr>
        <w:t>一般公共服务（类）组织事物（款）其他组织事物支出（项）</w:t>
      </w:r>
      <w:r>
        <w:rPr>
          <w:rStyle w:val="18"/>
          <w:rFonts w:hint="default" w:ascii="Times New Roman" w:hAnsi="Times New Roman" w:eastAsia="仿宋" w:cs="Times New Roman"/>
          <w:bCs/>
          <w:sz w:val="32"/>
          <w:szCs w:val="32"/>
        </w:rPr>
        <w:t xml:space="preserve">: </w:t>
      </w:r>
      <w:r>
        <w:rPr>
          <w:rStyle w:val="18"/>
          <w:rFonts w:hint="default" w:ascii="Times New Roman" w:hAnsi="Times New Roman" w:eastAsia="仿宋" w:cs="Times New Roman"/>
          <w:bCs/>
          <w:sz w:val="32"/>
          <w:szCs w:val="32"/>
        </w:rPr>
        <w:t>支出决算为1.2万元，完成预算100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Fonts w:hint="default" w:ascii="Times New Roman" w:hAnsi="Times New Roman" w:eastAsia="仿宋" w:cs="Times New Roman"/>
          <w:b/>
          <w:sz w:val="32"/>
          <w:szCs w:val="32"/>
        </w:rPr>
      </w:pPr>
      <w:r>
        <w:rPr>
          <w:rStyle w:val="18"/>
          <w:rFonts w:hint="default" w:ascii="Times New Roman" w:hAnsi="Times New Roman" w:eastAsia="仿宋" w:cs="Times New Roman"/>
          <w:bCs/>
          <w:sz w:val="32"/>
          <w:szCs w:val="32"/>
        </w:rPr>
        <w:t>5.</w:t>
      </w:r>
      <w:r>
        <w:rPr>
          <w:rStyle w:val="18"/>
          <w:rFonts w:hint="default" w:ascii="Times New Roman" w:hAnsi="Times New Roman" w:eastAsia="仿宋" w:cs="Times New Roman"/>
          <w:bCs/>
          <w:sz w:val="32"/>
          <w:szCs w:val="32"/>
        </w:rPr>
        <w:t xml:space="preserve"> 一般公共服务（类）市场监督管理事务（款）食品安全监管（项）</w:t>
      </w:r>
      <w:r>
        <w:rPr>
          <w:rStyle w:val="18"/>
          <w:rFonts w:hint="default" w:ascii="Times New Roman" w:hAnsi="Times New Roman" w:eastAsia="仿宋" w:cs="Times New Roman"/>
          <w:bCs/>
          <w:sz w:val="32"/>
          <w:szCs w:val="32"/>
        </w:rPr>
        <w:t xml:space="preserve">: </w:t>
      </w:r>
      <w:r>
        <w:rPr>
          <w:rStyle w:val="18"/>
          <w:rFonts w:hint="default" w:ascii="Times New Roman" w:hAnsi="Times New Roman" w:eastAsia="仿宋" w:cs="Times New Roman"/>
          <w:bCs/>
          <w:sz w:val="32"/>
          <w:szCs w:val="32"/>
        </w:rPr>
        <w:t>支出决算为2万元，完成预算100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Fonts w:hint="default" w:ascii="Times New Roman" w:hAnsi="Times New Roman" w:eastAsia="仿宋" w:cs="Times New Roman"/>
          <w:b/>
          <w:sz w:val="32"/>
          <w:szCs w:val="32"/>
        </w:rPr>
      </w:pPr>
      <w:r>
        <w:rPr>
          <w:rStyle w:val="18"/>
          <w:rFonts w:hint="default" w:ascii="Times New Roman" w:hAnsi="Times New Roman" w:eastAsia="仿宋" w:cs="Times New Roman"/>
          <w:bCs/>
          <w:sz w:val="32"/>
          <w:szCs w:val="32"/>
        </w:rPr>
        <w:t>6.</w:t>
      </w:r>
      <w:r>
        <w:rPr>
          <w:rStyle w:val="18"/>
          <w:rFonts w:hint="default" w:ascii="Times New Roman" w:hAnsi="Times New Roman" w:eastAsia="仿宋" w:cs="Times New Roman"/>
          <w:bCs/>
          <w:sz w:val="32"/>
          <w:szCs w:val="32"/>
        </w:rPr>
        <w:t>社会保障和就业（类）行政事业单位养老支出（款）行政单位离退休（项）</w:t>
      </w:r>
      <w:r>
        <w:rPr>
          <w:rStyle w:val="18"/>
          <w:rFonts w:hint="default" w:ascii="Times New Roman" w:hAnsi="Times New Roman" w:eastAsia="仿宋" w:cs="Times New Roman"/>
          <w:bCs/>
          <w:sz w:val="32"/>
          <w:szCs w:val="32"/>
        </w:rPr>
        <w:t xml:space="preserve">: </w:t>
      </w:r>
      <w:r>
        <w:rPr>
          <w:rStyle w:val="18"/>
          <w:rFonts w:hint="default" w:ascii="Times New Roman" w:hAnsi="Times New Roman" w:eastAsia="仿宋" w:cs="Times New Roman"/>
          <w:bCs/>
          <w:sz w:val="32"/>
          <w:szCs w:val="32"/>
        </w:rPr>
        <w:t>支出决算为525.34万元，完成预算100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420" w:firstLineChars="200"/>
        <w:rPr>
          <w:rStyle w:val="18"/>
          <w:rFonts w:hint="default" w:ascii="Times New Roman" w:hAnsi="Times New Roman" w:eastAsia="仿宋" w:cs="Times New Roman"/>
          <w:b w:val="0"/>
          <w:bCs/>
          <w:sz w:val="32"/>
          <w:szCs w:val="32"/>
        </w:rPr>
      </w:pPr>
      <w:r>
        <w:rPr>
          <w:rFonts w:hint="default" w:ascii="Times New Roman" w:hAnsi="Times New Roman" w:cs="Times New Roman"/>
        </w:rPr>
        <w:t xml:space="preserve">  </w:t>
      </w:r>
      <w:r>
        <w:rPr>
          <w:rStyle w:val="18"/>
          <w:rFonts w:hint="default" w:ascii="Times New Roman" w:hAnsi="Times New Roman" w:eastAsia="仿宋" w:cs="Times New Roman"/>
          <w:bCs/>
          <w:sz w:val="32"/>
          <w:szCs w:val="32"/>
        </w:rPr>
        <w:t>7</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社会保障和就业（类）行政事业单位养老支出（款）事业单位离退休（项）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支出决算为5.81万元，完成预算100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8</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社会保障和就业（类）行政事业单位养老支出（款）机关事业单位基本养老保险缴费支出（项）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支出决算为103.05万元，完成预算100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420" w:firstLineChars="200"/>
        <w:rPr>
          <w:rStyle w:val="18"/>
          <w:rFonts w:hint="default" w:ascii="Times New Roman" w:hAnsi="Times New Roman" w:eastAsia="仿宋" w:cs="Times New Roman"/>
          <w:b w:val="0"/>
          <w:bCs/>
          <w:sz w:val="32"/>
          <w:szCs w:val="32"/>
        </w:rPr>
      </w:pPr>
      <w:r>
        <w:rPr>
          <w:rFonts w:hint="default" w:ascii="Times New Roman" w:hAnsi="Times New Roman" w:cs="Times New Roman"/>
        </w:rPr>
        <w:t xml:space="preserve">   </w:t>
      </w:r>
      <w:r>
        <w:rPr>
          <w:rStyle w:val="18"/>
          <w:rFonts w:hint="default" w:ascii="Times New Roman" w:hAnsi="Times New Roman" w:eastAsia="仿宋" w:cs="Times New Roman"/>
          <w:bCs/>
          <w:sz w:val="32"/>
          <w:szCs w:val="32"/>
        </w:rPr>
        <w:t>9</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社会保障和就业（类）抚恤（款）死亡抚恤（项）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支出决算为194.05万元，完成预算100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420" w:firstLineChars="200"/>
        <w:rPr>
          <w:rStyle w:val="18"/>
          <w:rFonts w:hint="default" w:ascii="Times New Roman" w:hAnsi="Times New Roman" w:eastAsia="仿宋" w:cs="Times New Roman"/>
          <w:b w:val="0"/>
          <w:bCs/>
          <w:sz w:val="32"/>
          <w:szCs w:val="32"/>
        </w:rPr>
      </w:pPr>
      <w:r>
        <w:rPr>
          <w:rFonts w:hint="default" w:ascii="Times New Roman" w:hAnsi="Times New Roman" w:cs="Times New Roman"/>
        </w:rPr>
        <w:t xml:space="preserve"> </w:t>
      </w:r>
      <w:r>
        <w:rPr>
          <w:rStyle w:val="18"/>
          <w:rFonts w:hint="default" w:ascii="Times New Roman" w:hAnsi="Times New Roman" w:eastAsia="仿宋" w:cs="Times New Roman"/>
          <w:bCs/>
          <w:sz w:val="32"/>
          <w:szCs w:val="32"/>
        </w:rPr>
        <w:t xml:space="preserve"> 10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社会保障和就业（类）社会福利（款）儿童福利（项）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支出决算为0.6万元，完成预算100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420" w:firstLineChars="200"/>
        <w:rPr>
          <w:rStyle w:val="18"/>
          <w:rFonts w:hint="default" w:ascii="Times New Roman" w:hAnsi="Times New Roman" w:eastAsia="仿宋" w:cs="Times New Roman"/>
          <w:bCs/>
          <w:sz w:val="32"/>
          <w:szCs w:val="32"/>
        </w:rPr>
      </w:pPr>
      <w:r>
        <w:rPr>
          <w:rFonts w:hint="default" w:ascii="Times New Roman" w:hAnsi="Times New Roman" w:cs="Times New Roman"/>
        </w:rPr>
        <w:t xml:space="preserve">  </w:t>
      </w:r>
      <w:r>
        <w:rPr>
          <w:rStyle w:val="18"/>
          <w:rFonts w:hint="default" w:ascii="Times New Roman" w:hAnsi="Times New Roman" w:eastAsia="仿宋" w:cs="Times New Roman"/>
          <w:bCs/>
          <w:sz w:val="32"/>
          <w:szCs w:val="32"/>
        </w:rPr>
        <w:t>11</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卫生健康（类）行政事业单位医疗（款）行政单位医疗（项）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支出决算为41.2万元，完成预算100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Style w:val="18"/>
          <w:rFonts w:hint="default" w:ascii="Times New Roman" w:hAnsi="Times New Roman" w:eastAsia="仿宋" w:cs="Times New Roman"/>
          <w:bCs/>
          <w:sz w:val="32"/>
          <w:szCs w:val="32"/>
        </w:rPr>
      </w:pPr>
      <w:r>
        <w:rPr>
          <w:rStyle w:val="18"/>
          <w:rFonts w:hint="default" w:ascii="Times New Roman" w:hAnsi="Times New Roman" w:eastAsia="仿宋" w:cs="Times New Roman"/>
          <w:bCs/>
          <w:sz w:val="32"/>
          <w:szCs w:val="32"/>
        </w:rPr>
        <w:t>12</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卫生健康（类）行政事业单位医疗（款）事业单位医疗（项）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支出决算为8.2万元，完成预算100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Style w:val="18"/>
          <w:rFonts w:hint="default" w:ascii="Times New Roman" w:hAnsi="Times New Roman" w:eastAsia="仿宋" w:cs="Times New Roman"/>
          <w:bCs/>
          <w:sz w:val="32"/>
          <w:szCs w:val="32"/>
        </w:rPr>
      </w:pPr>
      <w:r>
        <w:rPr>
          <w:rStyle w:val="18"/>
          <w:rFonts w:hint="default" w:ascii="Times New Roman" w:hAnsi="Times New Roman" w:eastAsia="仿宋" w:cs="Times New Roman"/>
          <w:bCs/>
          <w:sz w:val="32"/>
          <w:szCs w:val="32"/>
        </w:rPr>
        <w:t>13</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 xml:space="preserve"> 卫生健康（类）行政事业单位医疗（款）公务员医疗补助（项）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支出决算为2.68万元，完成预算100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Style w:val="18"/>
          <w:rFonts w:hint="default" w:ascii="Times New Roman" w:hAnsi="Times New Roman" w:eastAsia="仿宋" w:cs="Times New Roman"/>
          <w:bCs/>
          <w:sz w:val="32"/>
          <w:szCs w:val="32"/>
        </w:rPr>
      </w:pPr>
      <w:r>
        <w:rPr>
          <w:rStyle w:val="18"/>
          <w:rFonts w:hint="default" w:ascii="Times New Roman" w:hAnsi="Times New Roman" w:eastAsia="仿宋" w:cs="Times New Roman"/>
          <w:bCs/>
          <w:sz w:val="32"/>
          <w:szCs w:val="32"/>
        </w:rPr>
        <w:t>14</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 xml:space="preserve"> 卫生健康（类）行政事业单位医疗（款）其他行政事业单位医疗支出（项）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支出决算为6.14万元，完成预算100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Style w:val="18"/>
          <w:rFonts w:hint="default" w:ascii="Times New Roman" w:hAnsi="Times New Roman" w:eastAsia="仿宋" w:cs="Times New Roman"/>
          <w:bCs/>
          <w:sz w:val="32"/>
          <w:szCs w:val="32"/>
        </w:rPr>
      </w:pPr>
      <w:r>
        <w:rPr>
          <w:rStyle w:val="18"/>
          <w:rFonts w:hint="default" w:ascii="Times New Roman" w:hAnsi="Times New Roman" w:eastAsia="仿宋" w:cs="Times New Roman"/>
          <w:bCs/>
          <w:sz w:val="32"/>
          <w:szCs w:val="32"/>
        </w:rPr>
        <w:t>15. 卫生健康（类）其他卫生健康支出（款）其他卫生健康支出（项）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支出决算为1.15万元，完成预算100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16.农林水支出（类）农业农村（款）其他农业农村支出（项）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支出决算为11.52万元，完成预算100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Style w:val="18"/>
          <w:rFonts w:hint="default" w:ascii="Times New Roman" w:hAnsi="Times New Roman" w:eastAsia="仿宋" w:cs="Times New Roman"/>
          <w:bCs/>
          <w:sz w:val="32"/>
          <w:szCs w:val="32"/>
        </w:rPr>
      </w:pPr>
      <w:r>
        <w:rPr>
          <w:rStyle w:val="18"/>
          <w:rFonts w:hint="default" w:ascii="Times New Roman" w:hAnsi="Times New Roman" w:eastAsia="仿宋" w:cs="Times New Roman"/>
          <w:bCs/>
          <w:sz w:val="32"/>
          <w:szCs w:val="32"/>
        </w:rPr>
        <w:t>17.资源勘探工业信息等支出（类）支持中小企业发展和管理支出（款）其他支持中小企业发展和管理支出（项）：支出决算为16.92万元，完成预算100%。</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18.商业服务业等支出（类）商业流通事物（款）行政运行（项）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支出决算为0.89万元，完成预算100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19.商业服务业等支出（类）商业流通事物（款）其他商业流通事物支出（项）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支出决算为14.83万元，完成预算100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20.商业服务业等支出（类）涉外发展服务支出（款）其他涉外发展服务支出（项）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支出决算为16.8万元，完成预算100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21.商业服务业等支出（类）其他商业服务业等支出（款）其他商业服务业等支出（项）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支出决算为727.05万元，完成预算100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22</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住房保障支出（类）住房改革支出（款）住房公积金（项）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支出决算为75.98万元，完成预算100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adjustRightInd w:val="0"/>
        <w:ind w:firstLine="642"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Cs/>
          <w:sz w:val="32"/>
          <w:szCs w:val="32"/>
        </w:rPr>
        <w:t>23.粮油物资储备支出（类）重要商品储备（款）肉类储备（项）</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支出决算为24万元，完成预算100</w:t>
      </w:r>
      <w:r>
        <w:rPr>
          <w:rStyle w:val="18"/>
          <w:rFonts w:hint="default" w:ascii="Times New Roman" w:hAnsi="Times New Roman" w:eastAsia="仿宋" w:cs="Times New Roman"/>
          <w:bCs/>
          <w:sz w:val="32"/>
          <w:szCs w:val="32"/>
        </w:rPr>
        <w:t>%</w:t>
      </w:r>
      <w:r>
        <w:rPr>
          <w:rStyle w:val="18"/>
          <w:rFonts w:hint="default" w:ascii="Times New Roman" w:hAnsi="Times New Roman" w:eastAsia="仿宋" w:cs="Times New Roman"/>
          <w:bCs/>
          <w:sz w:val="32"/>
          <w:szCs w:val="32"/>
        </w:rPr>
        <w:t>。</w:t>
      </w:r>
    </w:p>
    <w:p>
      <w:pPr>
        <w:tabs>
          <w:tab w:val="right" w:pos="8306"/>
        </w:tabs>
        <w:ind w:firstLine="640"/>
        <w:outlineLvl w:val="1"/>
        <w:rPr>
          <w:rStyle w:val="22"/>
          <w:rFonts w:hint="default" w:ascii="Times New Roman" w:hAnsi="Times New Roman" w:cs="Times New Roman"/>
        </w:rPr>
      </w:pPr>
      <w:bookmarkStart w:id="51" w:name="_Toc15377214"/>
      <w:bookmarkStart w:id="52" w:name="_Toc15396608"/>
      <w:bookmarkStart w:id="53" w:name="_Toc176943246"/>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w:t>
      </w:r>
      <w:r>
        <w:rPr>
          <w:rFonts w:hint="default" w:ascii="Times New Roman" w:hAnsi="Times New Roman" w:eastAsia="黑体" w:cs="Times New Roman"/>
          <w:b/>
          <w:sz w:val="32"/>
          <w:szCs w:val="32"/>
        </w:rPr>
        <w:t>一</w:t>
      </w:r>
      <w:r>
        <w:rPr>
          <w:rStyle w:val="22"/>
          <w:rFonts w:hint="default" w:ascii="Times New Roman" w:hAnsi="Times New Roman" w:eastAsia="黑体" w:cs="Times New Roman"/>
          <w:b w:val="0"/>
        </w:rPr>
        <w:t>般公共预算财政拨款基本支出决算情况说明</w:t>
      </w:r>
      <w:bookmarkEnd w:id="51"/>
      <w:bookmarkEnd w:id="52"/>
      <w:bookmarkEnd w:id="53"/>
      <w:r>
        <w:rPr>
          <w:rStyle w:val="22"/>
          <w:rFonts w:hint="default" w:ascii="Times New Roman" w:hAnsi="Times New Roman" w:eastAsia="黑体" w:cs="Times New Roman"/>
          <w:b w:val="0"/>
        </w:rPr>
        <w:tab/>
      </w:r>
    </w:p>
    <w:p>
      <w:pPr>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2023年度一般公共预算财政拨款基本支出</w:t>
      </w:r>
      <w:r>
        <w:rPr>
          <w:rFonts w:hint="default" w:ascii="Times New Roman" w:hAnsi="Times New Roman" w:eastAsia="仿宋" w:cs="Times New Roman"/>
          <w:b/>
          <w:sz w:val="32"/>
          <w:szCs w:val="32"/>
        </w:rPr>
        <w:t>1773.64</w:t>
      </w:r>
      <w:r>
        <w:rPr>
          <w:rFonts w:hint="default" w:ascii="Times New Roman" w:hAnsi="Times New Roman" w:eastAsia="仿宋" w:cs="Times New Roman"/>
          <w:sz w:val="32"/>
          <w:szCs w:val="32"/>
        </w:rPr>
        <w:t>万元，其中：</w:t>
      </w:r>
    </w:p>
    <w:p>
      <w:pPr>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r>
        <w:rPr>
          <w:rFonts w:hint="default" w:ascii="Times New Roman" w:hAnsi="Times New Roman" w:eastAsia="仿宋" w:cs="Times New Roman"/>
          <w:b/>
          <w:sz w:val="32"/>
          <w:szCs w:val="32"/>
        </w:rPr>
        <w:t>1606.63</w:t>
      </w:r>
      <w:r>
        <w:rPr>
          <w:rFonts w:hint="default" w:ascii="Times New Roman" w:hAnsi="Times New Roman" w:eastAsia="仿宋" w:cs="Times New Roman"/>
          <w:sz w:val="32"/>
          <w:szCs w:val="32"/>
        </w:rPr>
        <w:t>万元，主要包括：基本工资、津贴补贴、奖金、绩效工资、机关事业单位基本养老保险缴费、职工基本医疗保险缴费、公务员医疗补助缴费、其他社会保障缴费、其他工资福利支出、离休费、退休费、抚恤金、生活补助、医疗费补助、奖励金、住房公积金、其他对个人和家庭的补助支出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w:t>
      </w:r>
      <w:r>
        <w:rPr>
          <w:rFonts w:hint="default" w:ascii="Times New Roman" w:hAnsi="Times New Roman" w:eastAsia="仿宋" w:cs="Times New Roman"/>
          <w:b/>
          <w:sz w:val="32"/>
          <w:szCs w:val="32"/>
        </w:rPr>
        <w:t>167.01</w:t>
      </w:r>
      <w:r>
        <w:rPr>
          <w:rFonts w:hint="default" w:ascii="Times New Roman" w:hAnsi="Times New Roman" w:eastAsia="仿宋" w:cs="Times New Roman"/>
          <w:sz w:val="32"/>
          <w:szCs w:val="32"/>
        </w:rPr>
        <w:t>万元，主要包括：办公费、水费、电费、邮电费、物业管理费、差旅费、维修（护）费、会议费、培训费、公务接待费、劳务费、委托业务费、工会经费、福利费、公务用车运行维护费、其他交通费、其他商品和服务支出等。</w:t>
      </w:r>
    </w:p>
    <w:p>
      <w:pPr>
        <w:ind w:firstLine="640"/>
        <w:outlineLvl w:val="1"/>
        <w:rPr>
          <w:rStyle w:val="22"/>
          <w:rFonts w:hint="default" w:ascii="Times New Roman" w:hAnsi="Times New Roman" w:eastAsia="黑体" w:cs="Times New Roman"/>
          <w:b w:val="0"/>
        </w:rPr>
      </w:pPr>
      <w:bookmarkStart w:id="54" w:name="_Toc15377215"/>
      <w:bookmarkStart w:id="55" w:name="_Toc15396609"/>
      <w:bookmarkStart w:id="56" w:name="_Toc176943247"/>
      <w:r>
        <w:rPr>
          <w:rFonts w:hint="default" w:ascii="Times New Roman" w:hAnsi="Times New Roman" w:eastAsia="黑体" w:cs="Times New Roman"/>
          <w:sz w:val="32"/>
          <w:szCs w:val="32"/>
        </w:rPr>
        <w:t>七、</w:t>
      </w:r>
      <w:r>
        <w:rPr>
          <w:rStyle w:val="22"/>
          <w:rFonts w:hint="default" w:ascii="Times New Roman" w:hAnsi="Times New Roman" w:eastAsia="黑体" w:cs="Times New Roman"/>
          <w:b w:val="0"/>
        </w:rPr>
        <w:t>财政拨款</w:t>
      </w:r>
      <w:r>
        <w:rPr>
          <w:rStyle w:val="22"/>
          <w:rFonts w:hint="default" w:ascii="Times New Roman" w:hAnsi="Times New Roman" w:eastAsia="黑体" w:cs="Times New Roman"/>
        </w:rPr>
        <w:t>“</w:t>
      </w:r>
      <w:r>
        <w:rPr>
          <w:rStyle w:val="22"/>
          <w:rFonts w:hint="default" w:ascii="Times New Roman" w:hAnsi="Times New Roman" w:eastAsia="黑体" w:cs="Times New Roman"/>
          <w:b w:val="0"/>
        </w:rPr>
        <w:t>三公经费”支出决算情况说明</w:t>
      </w:r>
      <w:bookmarkEnd w:id="54"/>
      <w:bookmarkEnd w:id="55"/>
      <w:bookmarkEnd w:id="56"/>
    </w:p>
    <w:p>
      <w:pPr>
        <w:ind w:firstLine="640"/>
        <w:outlineLvl w:val="2"/>
        <w:rPr>
          <w:rFonts w:hint="default" w:ascii="Times New Roman" w:hAnsi="Times New Roman" w:eastAsia="仿宋" w:cs="Times New Roman"/>
          <w:b/>
          <w:sz w:val="32"/>
          <w:szCs w:val="32"/>
        </w:rPr>
      </w:pPr>
      <w:bookmarkStart w:id="57" w:name="_Toc15377216"/>
      <w:bookmarkStart w:id="58" w:name="_Toc176943248"/>
      <w:r>
        <w:rPr>
          <w:rFonts w:hint="default" w:ascii="Times New Roman" w:hAnsi="Times New Roman" w:eastAsia="仿宋" w:cs="Times New Roman"/>
          <w:b/>
          <w:sz w:val="32"/>
          <w:szCs w:val="32"/>
        </w:rPr>
        <w:t>（一）“三公经费”财政拨款支出决算总体情况说明</w:t>
      </w:r>
      <w:bookmarkEnd w:id="57"/>
      <w:bookmarkEnd w:id="58"/>
    </w:p>
    <w:p>
      <w:pPr>
        <w:adjustRightInd w:val="0"/>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2023年度“三公经费”财政拨款支出决算为</w:t>
      </w:r>
      <w:r>
        <w:rPr>
          <w:rFonts w:hint="default" w:ascii="Times New Roman" w:hAnsi="Times New Roman" w:eastAsia="仿宋" w:cs="Times New Roman"/>
          <w:b/>
          <w:sz w:val="32"/>
          <w:szCs w:val="32"/>
        </w:rPr>
        <w:t>3.84</w:t>
      </w:r>
      <w:r>
        <w:rPr>
          <w:rFonts w:hint="default" w:ascii="Times New Roman" w:hAnsi="Times New Roman" w:eastAsia="仿宋" w:cs="Times New Roman"/>
          <w:sz w:val="32"/>
          <w:szCs w:val="32"/>
        </w:rPr>
        <w:t>万元，完成预算</w:t>
      </w:r>
      <w:r>
        <w:rPr>
          <w:rFonts w:hint="default" w:ascii="Times New Roman" w:hAnsi="Times New Roman" w:eastAsia="仿宋" w:cs="Times New Roman"/>
          <w:b/>
          <w:sz w:val="32"/>
          <w:szCs w:val="32"/>
        </w:rPr>
        <w:t>68.39</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，较上年度减少1.64万元，下降29.92%。决算数小于预算数的主要原因是公务接待批次及人次未达到预算数。</w:t>
      </w:r>
    </w:p>
    <w:p>
      <w:pPr>
        <w:ind w:firstLine="640"/>
        <w:outlineLvl w:val="2"/>
        <w:rPr>
          <w:rFonts w:hint="default" w:ascii="Times New Roman" w:hAnsi="Times New Roman" w:eastAsia="仿宋" w:cs="Times New Roman"/>
          <w:b/>
          <w:sz w:val="32"/>
          <w:szCs w:val="32"/>
        </w:rPr>
      </w:pPr>
      <w:bookmarkStart w:id="59" w:name="_Toc15377217"/>
      <w:bookmarkStart w:id="60" w:name="_Toc176943249"/>
      <w:r>
        <w:rPr>
          <w:rFonts w:hint="default" w:ascii="Times New Roman" w:hAnsi="Times New Roman" w:eastAsia="仿宋" w:cs="Times New Roman"/>
          <w:b/>
          <w:sz w:val="32"/>
          <w:szCs w:val="32"/>
        </w:rPr>
        <w:t>（二）“三公经费”财政拨款支出决算具体情况说明</w:t>
      </w:r>
      <w:bookmarkEnd w:id="59"/>
      <w:bookmarkEnd w:id="60"/>
    </w:p>
    <w:p>
      <w:pPr>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2023年度“三公经费”财政拨款支出决算中，因公出国（境）费支出决算</w:t>
      </w:r>
      <w:r>
        <w:rPr>
          <w:rFonts w:hint="default" w:ascii="Times New Roman" w:hAnsi="Times New Roman" w:eastAsia="仿宋" w:cs="Times New Roman"/>
          <w:b/>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；公务用车购置及运行维护费支出决算</w:t>
      </w:r>
      <w:r>
        <w:rPr>
          <w:rFonts w:hint="default" w:ascii="Times New Roman" w:hAnsi="Times New Roman" w:eastAsia="仿宋" w:cs="Times New Roman"/>
          <w:b/>
          <w:sz w:val="32"/>
          <w:szCs w:val="32"/>
        </w:rPr>
        <w:t>2.92</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75.96</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；公务接待费支出决算</w:t>
      </w:r>
      <w:r>
        <w:rPr>
          <w:rFonts w:hint="default" w:ascii="Times New Roman" w:hAnsi="Times New Roman" w:eastAsia="仿宋" w:cs="Times New Roman"/>
          <w:b/>
          <w:sz w:val="32"/>
          <w:szCs w:val="32"/>
        </w:rPr>
        <w:t>0.92</w:t>
      </w:r>
      <w:r>
        <w:rPr>
          <w:rFonts w:hint="default" w:ascii="Times New Roman" w:hAnsi="Times New Roman" w:eastAsia="仿宋" w:cs="Times New Roman"/>
          <w:sz w:val="32"/>
          <w:szCs w:val="32"/>
        </w:rPr>
        <w:t>万元，占</w:t>
      </w:r>
      <w:r>
        <w:rPr>
          <w:rFonts w:hint="default" w:ascii="Times New Roman" w:hAnsi="Times New Roman" w:eastAsia="仿宋" w:cs="Times New Roman"/>
          <w:b/>
          <w:sz w:val="32"/>
          <w:szCs w:val="32"/>
        </w:rPr>
        <w:t>24.03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。具体情况如下：</w:t>
      </w:r>
    </w:p>
    <w:p>
      <w:pPr>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（图7：“三公经费”财政拨款支出结构）（饼状图）</w:t>
      </w:r>
    </w:p>
    <w:p>
      <w:pPr>
        <w:ind w:firstLine="640"/>
        <w:rPr>
          <w:rFonts w:hint="default" w:ascii="Times New Roman" w:hAnsi="Times New Roman" w:eastAsia="仿宋_GB2312" w:cs="Times New Roman"/>
          <w:sz w:val="32"/>
          <w:szCs w:val="32"/>
        </w:rPr>
      </w:pPr>
      <w:bookmarkStart w:id="61" w:name="_Toc15377218"/>
      <w:bookmarkStart w:id="62" w:name="_Toc15396610"/>
      <w:r>
        <w:rPr>
          <w:rFonts w:hint="default" w:ascii="Times New Roman" w:hAnsi="Times New Roman" w:eastAsia="仿宋_GB2312" w:cs="Times New Roman"/>
          <w:b/>
          <w:sz w:val="32"/>
          <w:szCs w:val="32"/>
        </w:rPr>
        <w:drawing>
          <wp:inline distT="0" distB="0" distL="0" distR="0">
            <wp:extent cx="5274310" cy="3076575"/>
            <wp:effectExtent l="19050" t="0" r="21590" b="0"/>
            <wp:docPr id="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szCs w:val="32"/>
        </w:rPr>
        <w:t>因公出国（境）经费支出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r>
        <w:rPr>
          <w:rStyle w:val="18"/>
          <w:rFonts w:hint="default" w:ascii="Times New Roman" w:hAnsi="Times New Roman" w:eastAsia="仿宋" w:cs="Times New Roman"/>
          <w:b w:val="0"/>
          <w:bCs/>
          <w:sz w:val="32"/>
          <w:szCs w:val="32"/>
        </w:rPr>
        <w:t>完成预算</w:t>
      </w:r>
      <w:r>
        <w:rPr>
          <w:rStyle w:val="18"/>
          <w:rFonts w:hint="default" w:ascii="Times New Roman" w:hAnsi="Times New Roman" w:eastAsia="仿宋" w:cs="Times New Roman"/>
          <w:bCs/>
          <w:sz w:val="32"/>
          <w:szCs w:val="32"/>
        </w:rPr>
        <w:t>0</w:t>
      </w:r>
      <w:r>
        <w:rPr>
          <w:rStyle w:val="18"/>
          <w:rFonts w:hint="default" w:ascii="Times New Roman" w:hAnsi="Times New Roman" w:eastAsia="仿宋" w:cs="Times New Roman"/>
          <w:b w:val="0"/>
          <w:bCs/>
          <w:sz w:val="32"/>
          <w:szCs w:val="32"/>
        </w:rPr>
        <w:t>%</w:t>
      </w:r>
      <w:r>
        <w:rPr>
          <w:rStyle w:val="18"/>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人。</w:t>
      </w:r>
    </w:p>
    <w:p>
      <w:pPr>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w:t>
      </w:r>
      <w:r>
        <w:rPr>
          <w:rFonts w:hint="default" w:ascii="Times New Roman" w:hAnsi="Times New Roman" w:eastAsia="仿宋_GB2312" w:cs="Times New Roman"/>
          <w:b/>
          <w:sz w:val="32"/>
          <w:szCs w:val="32"/>
        </w:rPr>
        <w:t>公务用车购置及运行维护费支出</w:t>
      </w:r>
      <w:r>
        <w:rPr>
          <w:rFonts w:hint="default" w:ascii="Times New Roman" w:hAnsi="Times New Roman" w:eastAsia="仿宋" w:cs="Times New Roman"/>
          <w:b/>
          <w:sz w:val="32"/>
          <w:szCs w:val="32"/>
        </w:rPr>
        <w:t>2.92</w:t>
      </w:r>
      <w:r>
        <w:rPr>
          <w:rFonts w:hint="default" w:ascii="Times New Roman" w:hAnsi="Times New Roman" w:eastAsia="仿宋_GB2312" w:cs="Times New Roman"/>
          <w:sz w:val="32"/>
          <w:szCs w:val="32"/>
        </w:rPr>
        <w:t>万元,</w:t>
      </w:r>
      <w:r>
        <w:rPr>
          <w:rStyle w:val="18"/>
          <w:rFonts w:hint="default" w:ascii="Times New Roman" w:hAnsi="Times New Roman" w:eastAsia="仿宋" w:cs="Times New Roman"/>
          <w:b w:val="0"/>
          <w:bCs/>
          <w:sz w:val="32"/>
          <w:szCs w:val="32"/>
        </w:rPr>
        <w:t>完成预算</w:t>
      </w:r>
      <w:r>
        <w:rPr>
          <w:rStyle w:val="18"/>
          <w:rFonts w:hint="default" w:ascii="Times New Roman" w:hAnsi="Times New Roman" w:eastAsia="仿宋" w:cs="Times New Roman"/>
          <w:bCs/>
          <w:sz w:val="32"/>
          <w:szCs w:val="32"/>
        </w:rPr>
        <w:t>100</w:t>
      </w:r>
      <w:r>
        <w:rPr>
          <w:rStyle w:val="18"/>
          <w:rFonts w:hint="default" w:ascii="Times New Roman" w:hAnsi="Times New Roman" w:eastAsia="仿宋" w:cs="Times New Roman"/>
          <w:b w:val="0"/>
          <w:bCs/>
          <w:sz w:val="32"/>
          <w:szCs w:val="32"/>
        </w:rPr>
        <w:t>%</w:t>
      </w:r>
      <w:r>
        <w:rPr>
          <w:rStyle w:val="18"/>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公务用车购置及运行维护费支出决算比2022年度减少1.13万元，下降27.9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。主要原因是预算压减。</w:t>
      </w:r>
    </w:p>
    <w:p>
      <w:pPr>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万元。全年按规定更新购置公务用车0辆，其中：轿车0辆、金额0万元，越野车0辆、金额0万元，载客汽车0辆、金额0万元0。截至2023年</w:t>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t>月31日，单位共有公务用车1辆，其中：轿车0辆、越野车1辆、载客汽车0辆。</w:t>
      </w:r>
    </w:p>
    <w:p>
      <w:pPr>
        <w:adjustRightInd w:val="0"/>
        <w:ind w:firstLine="640"/>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 w:cs="Times New Roman"/>
          <w:b/>
          <w:sz w:val="32"/>
          <w:szCs w:val="32"/>
        </w:rPr>
        <w:t>2.92</w:t>
      </w:r>
      <w:r>
        <w:rPr>
          <w:rFonts w:hint="default" w:ascii="Times New Roman" w:hAnsi="Times New Roman" w:eastAsia="仿宋_GB2312" w:cs="Times New Roman"/>
          <w:sz w:val="32"/>
          <w:szCs w:val="32"/>
        </w:rPr>
        <w:t>万元。主要用于</w:t>
      </w:r>
      <w:r>
        <w:rPr>
          <w:rFonts w:hint="default" w:ascii="Times New Roman" w:hAnsi="Times New Roman" w:eastAsia="仿宋" w:cs="Times New Roman"/>
          <w:sz w:val="32"/>
          <w:szCs w:val="32"/>
        </w:rPr>
        <w:t>公务出行等所需的公务用车燃料费、维修费、过路过桥费、保险费等支出。</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rPr>
        <w:t>公务接待费支出</w:t>
      </w:r>
      <w:r>
        <w:rPr>
          <w:rFonts w:hint="default" w:ascii="Times New Roman" w:hAnsi="Times New Roman" w:eastAsia="仿宋" w:cs="Times New Roman"/>
          <w:b/>
          <w:sz w:val="32"/>
          <w:szCs w:val="32"/>
        </w:rPr>
        <w:t>0.92</w:t>
      </w:r>
      <w:r>
        <w:rPr>
          <w:rFonts w:hint="default" w:ascii="Times New Roman" w:hAnsi="Times New Roman" w:eastAsia="仿宋_GB2312" w:cs="Times New Roman"/>
          <w:sz w:val="32"/>
          <w:szCs w:val="32"/>
        </w:rPr>
        <w:t>万元，</w:t>
      </w:r>
      <w:r>
        <w:rPr>
          <w:rStyle w:val="18"/>
          <w:rFonts w:hint="default" w:ascii="Times New Roman" w:hAnsi="Times New Roman" w:eastAsia="仿宋" w:cs="Times New Roman"/>
          <w:b w:val="0"/>
          <w:bCs/>
          <w:sz w:val="32"/>
          <w:szCs w:val="32"/>
        </w:rPr>
        <w:t>完成预算</w:t>
      </w:r>
      <w:r>
        <w:rPr>
          <w:rStyle w:val="18"/>
          <w:rFonts w:hint="default" w:ascii="Times New Roman" w:hAnsi="Times New Roman" w:eastAsia="仿宋" w:cs="Times New Roman"/>
          <w:b w:val="0"/>
          <w:bCs/>
          <w:sz w:val="32"/>
          <w:szCs w:val="32"/>
        </w:rPr>
        <w:t>34.2%</w:t>
      </w:r>
      <w:r>
        <w:rPr>
          <w:rStyle w:val="18"/>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公务接待费支出决算比2022年度减少0.51万元，下降35.66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。主要原因是接待费用减少。其中：</w:t>
      </w:r>
    </w:p>
    <w:p>
      <w:pPr>
        <w:ind w:firstLine="64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 w:cs="Times New Roman"/>
          <w:b/>
          <w:sz w:val="32"/>
          <w:szCs w:val="32"/>
        </w:rPr>
        <w:t>0.92</w:t>
      </w:r>
      <w:r>
        <w:rPr>
          <w:rFonts w:hint="default" w:ascii="Times New Roman" w:hAnsi="Times New Roman" w:eastAsia="仿宋_GB2312" w:cs="Times New Roman"/>
          <w:sz w:val="32"/>
          <w:szCs w:val="32"/>
        </w:rPr>
        <w:t>万元，主要用于</w:t>
      </w:r>
      <w:r>
        <w:rPr>
          <w:rFonts w:hint="default" w:ascii="Times New Roman" w:hAnsi="Times New Roman" w:eastAsia="仿宋" w:cs="Times New Roman"/>
          <w:sz w:val="32"/>
          <w:szCs w:val="32"/>
        </w:rPr>
        <w:t>执行公务、开展业务活动开支的用餐费。</w:t>
      </w:r>
      <w:r>
        <w:rPr>
          <w:rFonts w:hint="default" w:ascii="Times New Roman" w:hAnsi="Times New Roman" w:eastAsia="仿宋_GB2312" w:cs="Times New Roman"/>
          <w:sz w:val="32"/>
          <w:szCs w:val="32"/>
        </w:rPr>
        <w:t>国内公务接待9批次，36人次（不包括陪同人员），共计支出0.92万元，具体内容包括：1.省商务厅对攀枝花市商务领域岁末年初安全生产重大隐患专项整治工作进行督导工作餐费0.06万元；2.省商务厅调研攀枝花电商产业发展情况工作餐费0.11万元；3.省商务厅调研高品质步行街打造、老字号认定、绿色商场创建等工作餐费0.07万元；4.省商务厅领导出席攀枝花市“2023年服务业发展年”动员大会餐费0.12万元；5.中外地理标志产品博览会组委会秘书处对接第二届中外地理标志产品博览会工作餐费0.06万元；6.省贸促会、省口岸物流办参加攀枝花出席中老班列（攀枝花）首发仪式活动餐费</w:t>
      </w:r>
      <w:r>
        <w:rPr>
          <w:rFonts w:hint="default" w:ascii="Times New Roman" w:hAnsi="Times New Roman" w:eastAsia="仿宋" w:cs="Times New Roman"/>
          <w:sz w:val="32"/>
          <w:szCs w:val="32"/>
        </w:rPr>
        <w:t>及三线博物馆讲解费0.1万元；7.省商务厅开展全省商务系统安全生产隐患大排查大整治工作餐费0.1万元； 8.省商务厅赴攀枝花开展报废机动车回收拆解企业验收工作餐费0.16万元；9.省物流保通保畅工作机制办公室调研攀枝花国际物流先行先试工作开展情况餐费0.14万元</w:t>
      </w:r>
      <w:r>
        <w:rPr>
          <w:rFonts w:hint="default" w:ascii="Times New Roman" w:hAnsi="Times New Roman" w:eastAsia="仿宋_GB2312" w:cs="Times New Roman"/>
          <w:sz w:val="32"/>
          <w:szCs w:val="32"/>
        </w:rPr>
        <w:t>。</w:t>
      </w:r>
    </w:p>
    <w:p>
      <w:pPr>
        <w:ind w:firstLine="640"/>
        <w:rPr>
          <w:rFonts w:hint="default" w:ascii="Times New Roman" w:hAnsi="Times New Roman" w:eastAsia="黑体"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万元。外事接待0批次，0人次（不包括陪同人员），共计支出0万元。</w:t>
      </w:r>
    </w:p>
    <w:p>
      <w:pPr>
        <w:ind w:firstLine="640"/>
        <w:outlineLvl w:val="1"/>
        <w:rPr>
          <w:rStyle w:val="22"/>
          <w:rFonts w:hint="default" w:ascii="Times New Roman" w:hAnsi="Times New Roman" w:eastAsia="黑体" w:cs="Times New Roman"/>
        </w:rPr>
      </w:pPr>
      <w:bookmarkStart w:id="63" w:name="_Toc176943250"/>
      <w:r>
        <w:rPr>
          <w:rFonts w:hint="default" w:ascii="Times New Roman" w:hAnsi="Times New Roman" w:eastAsia="黑体" w:cs="Times New Roman"/>
          <w:sz w:val="32"/>
          <w:szCs w:val="32"/>
        </w:rPr>
        <w:t>八、</w:t>
      </w:r>
      <w:r>
        <w:rPr>
          <w:rStyle w:val="22"/>
          <w:rFonts w:hint="default" w:ascii="Times New Roman" w:hAnsi="Times New Roman" w:eastAsia="黑体" w:cs="Times New Roman"/>
          <w:b w:val="0"/>
        </w:rPr>
        <w:t>政府性基金预算支出决算情况说明</w:t>
      </w:r>
      <w:bookmarkEnd w:id="61"/>
      <w:bookmarkEnd w:id="62"/>
      <w:bookmarkEnd w:id="63"/>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2023年度政府性基金预算财政拨款支出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p>
    <w:p>
      <w:pPr>
        <w:numPr>
          <w:ilvl w:val="0"/>
          <w:numId w:val="2"/>
        </w:numPr>
        <w:ind w:left="0" w:firstLine="640"/>
        <w:outlineLvl w:val="1"/>
        <w:rPr>
          <w:rStyle w:val="22"/>
          <w:rFonts w:hint="default" w:ascii="Times New Roman" w:hAnsi="Times New Roman" w:eastAsia="黑体" w:cs="Times New Roman"/>
          <w:b w:val="0"/>
        </w:rPr>
      </w:pPr>
      <w:bookmarkStart w:id="64" w:name="_Toc15396611"/>
      <w:bookmarkStart w:id="65" w:name="_Toc176943251"/>
      <w:bookmarkStart w:id="66" w:name="_Toc15377219"/>
      <w:r>
        <w:rPr>
          <w:rStyle w:val="22"/>
          <w:rFonts w:hint="default" w:ascii="Times New Roman" w:hAnsi="Times New Roman" w:eastAsia="黑体" w:cs="Times New Roman"/>
          <w:b w:val="0"/>
        </w:rPr>
        <w:t>国有资本经营预算支出决算情况说明</w:t>
      </w:r>
      <w:bookmarkEnd w:id="64"/>
      <w:bookmarkEnd w:id="65"/>
      <w:bookmarkEnd w:id="66"/>
    </w:p>
    <w:p>
      <w:pPr>
        <w:ind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2023年度国有资本经营预算财政拨款支出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p>
    <w:p>
      <w:pPr>
        <w:numPr>
          <w:ilvl w:val="0"/>
          <w:numId w:val="2"/>
        </w:numPr>
        <w:ind w:left="0" w:firstLine="640"/>
        <w:outlineLvl w:val="1"/>
        <w:rPr>
          <w:rStyle w:val="22"/>
          <w:rFonts w:hint="default" w:ascii="Times New Roman" w:hAnsi="Times New Roman" w:eastAsia="黑体" w:cs="Times New Roman"/>
          <w:b w:val="0"/>
        </w:rPr>
      </w:pPr>
      <w:bookmarkStart w:id="67" w:name="_Toc15377221"/>
      <w:bookmarkStart w:id="68" w:name="_Toc15396612"/>
      <w:bookmarkStart w:id="69" w:name="_Toc176943252"/>
      <w:r>
        <w:rPr>
          <w:rStyle w:val="22"/>
          <w:rFonts w:hint="default" w:ascii="Times New Roman" w:hAnsi="Times New Roman" w:eastAsia="黑体" w:cs="Times New Roman"/>
          <w:b w:val="0"/>
        </w:rPr>
        <w:t>其他重要事项的情况说明</w:t>
      </w:r>
      <w:bookmarkEnd w:id="67"/>
      <w:bookmarkEnd w:id="68"/>
      <w:bookmarkEnd w:id="69"/>
    </w:p>
    <w:p>
      <w:pPr>
        <w:ind w:firstLine="642" w:firstLineChars="200"/>
        <w:outlineLvl w:val="2"/>
        <w:rPr>
          <w:rFonts w:hint="default" w:ascii="Times New Roman" w:hAnsi="Times New Roman" w:eastAsia="仿宋" w:cs="Times New Roman"/>
          <w:sz w:val="32"/>
          <w:szCs w:val="32"/>
        </w:rPr>
      </w:pPr>
      <w:bookmarkStart w:id="70" w:name="_Toc15377222"/>
      <w:bookmarkStart w:id="71" w:name="_Toc176943253"/>
      <w:r>
        <w:rPr>
          <w:rFonts w:hint="default" w:ascii="Times New Roman" w:hAnsi="Times New Roman" w:eastAsia="仿宋" w:cs="Times New Roman"/>
          <w:b/>
          <w:sz w:val="32"/>
          <w:szCs w:val="32"/>
        </w:rPr>
        <w:t>（一）机关运行经费支出情况</w:t>
      </w:r>
      <w:bookmarkEnd w:id="70"/>
      <w:bookmarkEnd w:id="71"/>
    </w:p>
    <w:p>
      <w:pPr>
        <w:adjustRightInd w:val="0"/>
        <w:ind w:firstLine="64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b/>
          <w:sz w:val="32"/>
          <w:szCs w:val="32"/>
        </w:rPr>
        <w:t>四川省攀枝花市商务局</w:t>
      </w:r>
      <w:r>
        <w:rPr>
          <w:rFonts w:hint="default" w:ascii="Times New Roman" w:hAnsi="Times New Roman" w:eastAsia="仿宋_GB2312" w:cs="Times New Roman"/>
          <w:sz w:val="32"/>
          <w:szCs w:val="32"/>
        </w:rPr>
        <w:t>机关运行经费支出</w:t>
      </w:r>
      <w:r>
        <w:rPr>
          <w:rFonts w:hint="default" w:ascii="Times New Roman" w:hAnsi="Times New Roman" w:eastAsia="仿宋" w:cs="Times New Roman"/>
          <w:b/>
          <w:sz w:val="32"/>
          <w:szCs w:val="32"/>
        </w:rPr>
        <w:t>167.01</w:t>
      </w:r>
      <w:r>
        <w:rPr>
          <w:rFonts w:hint="default" w:ascii="Times New Roman" w:hAnsi="Times New Roman" w:eastAsia="仿宋_GB2312" w:cs="Times New Roman"/>
          <w:sz w:val="32"/>
          <w:szCs w:val="32"/>
        </w:rPr>
        <w:t>万元，比2022年度增加14.35万元，增长9.4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。主要原因是</w:t>
      </w:r>
      <w:r>
        <w:rPr>
          <w:rFonts w:hint="default" w:ascii="Times New Roman" w:hAnsi="Times New Roman" w:eastAsia="仿宋" w:cs="Times New Roman"/>
          <w:sz w:val="32"/>
          <w:szCs w:val="32"/>
        </w:rPr>
        <w:t>办公费、劳务费、维修（护）费等支出比上年有所增加。</w:t>
      </w:r>
    </w:p>
    <w:p>
      <w:pPr>
        <w:autoSpaceDE w:val="0"/>
        <w:autoSpaceDN w:val="0"/>
        <w:adjustRightInd w:val="0"/>
        <w:ind w:firstLine="642" w:firstLineChars="200"/>
        <w:jc w:val="left"/>
        <w:outlineLvl w:val="2"/>
        <w:rPr>
          <w:rFonts w:hint="default" w:ascii="Times New Roman" w:hAnsi="Times New Roman" w:eastAsia="仿宋" w:cs="Times New Roman"/>
          <w:b/>
          <w:sz w:val="32"/>
          <w:szCs w:val="32"/>
        </w:rPr>
      </w:pPr>
      <w:bookmarkStart w:id="72" w:name="_Toc176943254"/>
      <w:bookmarkStart w:id="73" w:name="_Toc15377223"/>
      <w:r>
        <w:rPr>
          <w:rFonts w:hint="default" w:ascii="Times New Roman" w:hAnsi="Times New Roman" w:eastAsia="仿宋" w:cs="Times New Roman"/>
          <w:b/>
          <w:sz w:val="32"/>
          <w:szCs w:val="32"/>
        </w:rPr>
        <w:t>（二）政府采购支出情况</w:t>
      </w:r>
      <w:bookmarkEnd w:id="72"/>
      <w:bookmarkEnd w:id="73"/>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b/>
          <w:sz w:val="32"/>
          <w:szCs w:val="32"/>
        </w:rPr>
        <w:t>四川省攀枝花市商务局</w:t>
      </w:r>
      <w:r>
        <w:rPr>
          <w:rFonts w:hint="default" w:ascii="Times New Roman" w:hAnsi="Times New Roman" w:eastAsia="仿宋_GB2312" w:cs="Times New Roman"/>
          <w:sz w:val="32"/>
          <w:szCs w:val="32"/>
        </w:rPr>
        <w:t>政府采购支出总额</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万元。授予中小企业合同金额</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，其中：授予小微企业合同金额</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p>
    <w:p>
      <w:pPr>
        <w:autoSpaceDE w:val="0"/>
        <w:autoSpaceDN w:val="0"/>
        <w:adjustRightInd w:val="0"/>
        <w:ind w:firstLine="642" w:firstLineChars="200"/>
        <w:jc w:val="left"/>
        <w:outlineLvl w:val="2"/>
        <w:rPr>
          <w:rFonts w:hint="default" w:ascii="Times New Roman" w:hAnsi="Times New Roman" w:eastAsia="仿宋" w:cs="Times New Roman"/>
          <w:b/>
          <w:sz w:val="32"/>
          <w:szCs w:val="32"/>
        </w:rPr>
      </w:pPr>
      <w:bookmarkStart w:id="74" w:name="_Toc15377224"/>
      <w:bookmarkStart w:id="75" w:name="_Toc176943255"/>
      <w:r>
        <w:rPr>
          <w:rFonts w:hint="default" w:ascii="Times New Roman" w:hAnsi="Times New Roman" w:eastAsia="仿宋" w:cs="Times New Roman"/>
          <w:b/>
          <w:sz w:val="32"/>
          <w:szCs w:val="32"/>
        </w:rPr>
        <w:t>（三）国有资产占有使用情况</w:t>
      </w:r>
      <w:bookmarkEnd w:id="74"/>
      <w:bookmarkEnd w:id="75"/>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截至2023年</w:t>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rPr>
        <w:t>日，</w:t>
      </w:r>
      <w:r>
        <w:rPr>
          <w:rFonts w:hint="default" w:ascii="Times New Roman" w:hAnsi="Times New Roman" w:eastAsia="仿宋_GB2312" w:cs="Times New Roman"/>
          <w:b/>
          <w:sz w:val="32"/>
          <w:szCs w:val="32"/>
        </w:rPr>
        <w:t>四川省攀枝花市商务局</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b/>
          <w:sz w:val="32"/>
          <w:szCs w:val="32"/>
        </w:rPr>
        <w:t>1</w:t>
      </w:r>
      <w:r>
        <w:rPr>
          <w:rFonts w:hint="default" w:ascii="Times New Roman" w:hAnsi="Times New Roman" w:eastAsia="仿宋_GB2312" w:cs="Times New Roman"/>
          <w:sz w:val="32"/>
          <w:szCs w:val="32"/>
        </w:rPr>
        <w:t>辆，其中：应急保障用车1辆。单价</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万元以上设备（不含车辆）</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台（套）。</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sz w:val="32"/>
          <w:szCs w:val="32"/>
        </w:rPr>
      </w:pPr>
      <w:bookmarkStart w:id="76" w:name="_Toc176943256"/>
      <w:r>
        <w:rPr>
          <w:rFonts w:hint="default" w:ascii="Times New Roman" w:hAnsi="Times New Roman" w:eastAsia="仿宋" w:cs="Times New Roman"/>
          <w:b/>
          <w:sz w:val="32"/>
          <w:szCs w:val="32"/>
        </w:rPr>
        <w:t>（四）预算绩效管理情况</w:t>
      </w:r>
      <w:bookmarkEnd w:id="76"/>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单位在2023年度预算编制阶段，组织对促消费活动资金、中老班列常态化开行运行费用等2个项目开展了预算事前绩效评估，对12个项目编制了绩效目标，预算执行过程中，选取促消费活动资金、中老班列常态化开行运行费用2个项目开展绩效监控，组织开展绩效自评，绩效自评表详见第四部分附件。</w:t>
      </w:r>
    </w:p>
    <w:p>
      <w:pPr>
        <w:spacing w:line="580" w:lineRule="exact"/>
        <w:ind w:firstLine="640" w:firstLineChars="200"/>
        <w:rPr>
          <w:rFonts w:hint="default" w:ascii="Times New Roman" w:hAnsi="Times New Roman" w:eastAsia="黑体" w:cs="Times New Roman"/>
          <w:bCs/>
          <w:sz w:val="24"/>
          <w:szCs w:val="28"/>
        </w:rPr>
      </w:pPr>
      <w:r>
        <w:rPr>
          <w:rFonts w:hint="default" w:ascii="Times New Roman" w:hAnsi="Times New Roman" w:eastAsia="仿宋_GB2312" w:cs="Times New Roman"/>
          <w:sz w:val="32"/>
          <w:szCs w:val="32"/>
        </w:rPr>
        <w:t>组织对2023年度一般公共预算开展绩效自评，形成攀枝花市商务局部门整体（含部门预算项目）绩效自评报告绩效自评报告详见附件。</w:t>
      </w:r>
    </w:p>
    <w:p>
      <w:pPr>
        <w:rPr>
          <w:rFonts w:hint="default" w:ascii="Times New Roman" w:hAnsi="Times New Roman" w:cs="Times New Roman"/>
        </w:rPr>
      </w:pPr>
    </w:p>
    <w:p>
      <w:pPr>
        <w:pStyle w:val="3"/>
        <w:jc w:val="center"/>
        <w:rPr>
          <w:rFonts w:hint="default" w:ascii="Times New Roman" w:hAnsi="Times New Roman" w:cs="Times New Roman"/>
        </w:rPr>
      </w:pPr>
    </w:p>
    <w:p>
      <w:pPr>
        <w:rPr>
          <w:rFonts w:hint="default" w:ascii="Times New Roman" w:hAnsi="Times New Roman" w:cs="Times New Roman"/>
        </w:rPr>
      </w:pPr>
    </w:p>
    <w:p>
      <w:pPr>
        <w:widowControl/>
        <w:jc w:val="left"/>
        <w:rPr>
          <w:rFonts w:hint="default" w:ascii="Times New Roman" w:hAnsi="Times New Roman" w:cs="Times New Roman"/>
          <w:b/>
          <w:bCs/>
          <w:kern w:val="44"/>
          <w:sz w:val="44"/>
          <w:szCs w:val="44"/>
        </w:rPr>
      </w:pPr>
      <w:bookmarkStart w:id="77" w:name="_Toc176943257"/>
      <w:r>
        <w:rPr>
          <w:rFonts w:hint="default" w:ascii="Times New Roman" w:hAnsi="Times New Roman" w:cs="Times New Roman"/>
        </w:rPr>
        <w:br w:type="page"/>
      </w:r>
    </w:p>
    <w:p>
      <w:pPr>
        <w:pStyle w:val="3"/>
        <w:jc w:val="center"/>
        <w:rPr>
          <w:rFonts w:hint="default" w:ascii="Times New Roman" w:hAnsi="Times New Roman" w:cs="Times New Roman"/>
        </w:rPr>
      </w:pPr>
      <w:r>
        <w:rPr>
          <w:rFonts w:hint="default" w:ascii="Times New Roman" w:hAnsi="Times New Roman" w:cs="Times New Roman"/>
        </w:rPr>
        <w:t>第三部分名词解释</w:t>
      </w:r>
      <w:bookmarkEnd w:id="77"/>
    </w:p>
    <w:p>
      <w:pPr>
        <w:rPr>
          <w:rFonts w:hint="default" w:ascii="Times New Roman" w:hAnsi="Times New Roman" w:cs="Times New Roman"/>
        </w:rPr>
      </w:pP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t>财政拨款收入：指单位从同级财政部门取得的财政预算资金。</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2.其他收入：指单位取得的除上述收入以外的各项收入。主要是</w:t>
      </w:r>
      <w:r>
        <w:rPr>
          <w:rFonts w:hint="default" w:ascii="Times New Roman" w:hAnsi="Times New Roman" w:eastAsia="仿宋_GB2312" w:cs="Times New Roman"/>
          <w:sz w:val="32"/>
          <w:szCs w:val="32"/>
        </w:rPr>
        <w:t>银行利息收入</w:t>
      </w:r>
      <w:r>
        <w:rPr>
          <w:rFonts w:hint="default" w:ascii="Times New Roman" w:hAnsi="Times New Roman" w:eastAsia="仿宋_GB2312" w:cs="Times New Roman"/>
          <w:color w:val="auto"/>
          <w:sz w:val="32"/>
          <w:szCs w:val="32"/>
        </w:rPr>
        <w:t xml:space="preserve">等。 </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3.年初结转和结余：指以前年度尚未完成、结转到本年按有关规定继续使用的资金。 </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4.年末结转和结余：指单位按有关规定结转到下年或以后年度继续使用的资金。</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 一般公共服务（类）商贸事务（款）行政运行（项）：反映行政单位（包括实行公务员管理的事业单位）的基本支出。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 一般公共服务（类）商贸事务（款）事业运行（项）：反映事业单位的基本支出，不包括行政单位（包括实行公务员管理的事业单位）后勤服务中心、医务室等附属事业单位。</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7．一般公共服务（类）组织事务（款）其他组织事务支出（项）：反映除上述项目以外其他用于中国共产党组织部门的事务支出。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 一般公共服务（类）市场监督管理事务（款）视频安全监管（项）：反映食品安全监管等专项工作支出。</w:t>
      </w:r>
    </w:p>
    <w:p>
      <w:pPr>
        <w:pStyle w:val="26"/>
        <w:ind w:firstLine="640" w:firstLineChars="200"/>
        <w:rPr>
          <w:rFonts w:hint="default" w:ascii="Times New Roman" w:hAnsi="Times New Roman" w:eastAsia="仿宋_GB2312" w:cs="Times New Roman"/>
          <w:color w:val="auto"/>
          <w:sz w:val="32"/>
          <w:szCs w:val="32"/>
        </w:rPr>
      </w:pP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9.社会保障和就业（类）行政事业单位养老支出（款）行政单位离退休（项）：反映行政单位（包括实行公务员管理的事业单位）开支的离退休经费。</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10.社会保障和就业（类）行政事业单位养老支出（款）事业单位离退休（项）：反映事业单位开支的离退休经费。</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11.社会保障和就业（类）行政事业单位养老支出（款）机关事业单位基本养老保险缴费支出（项）：反映机关事业单位实施养老保险制度由单位缴纳的基本养老保险费支出。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12.社会保障和就业（类）抚恤（款）死亡抚恤（项）：反映按规定用于烈士和牺牲、病故人员家属的一次性和定期抚恤金、丧葬补助费以及烈士褒扬金。</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13.社会保障和就业（类）社会福利（款）儿童福利（项）：指对儿童提供福利服务方面的支出。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卫生健康支出（类）行政事业单位医疗（款）行政单位医疗（项）：反映财政部门安排的行政单位（包括实行公务员管理的事业单位，下同）基本医疗保险缴费经费，未参加医疗保险的行政单位的公费医疗经费，按规定享受离休人员、红军老战士待遇人员的医疗经费。</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 卫生健康支出（类）行政事业单位医疗（款）事业单位医疗（项）：反映财政部门安排的事业单位基本医疗保险缴费经费，未参加医疗保险的行政单位的公费医疗经费，按规定享受离休人员、红军老战士待遇人员的医疗经费。</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 卫生健康支出（类）行政事业单位医疗（款）公务员医疗补助（项）：反映财政部门安排的公务员医疗补助经费。</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 卫生健康支出（类）行政事业单位医疗（款）其他行政事业单位医疗支出（项）：</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 卫生健康支出（类）其他卫生健康支出（款）其他卫生健康支出（项）：反映除上述项目以外其他用于卫生健康方面的支出。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 农林水支出（类）农业农村（款）其他农业农村支出（项）:反映除上述项目以外其他用于农业农村方面的支出。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cs="Times New Roman"/>
        </w:rPr>
        <w:t xml:space="preserve"> </w:t>
      </w:r>
      <w:r>
        <w:rPr>
          <w:rFonts w:hint="default" w:ascii="Times New Roman" w:hAnsi="Times New Roman" w:eastAsia="仿宋_GB2312" w:cs="Times New Roman"/>
          <w:color w:val="auto"/>
          <w:sz w:val="32"/>
          <w:szCs w:val="32"/>
        </w:rPr>
        <w:t>资源勘探工业信息等支出（类）支持中小企业发展和管理支出（款）其他支持中小企业发展和管理支出（项）:反映除上述项目以外其他用于支持中小企业发展和管理方面的支出。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21.商业服务业等支出（类）商业流通事务（款）其他商业流通事务支出（项）：反映除上述项目以外其他用商业流通事务方面的支出。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22.商业服务业等支出（类）涉外发展服务支出（款）其他涉外发展服务支出（项）：反映除上述项目以外其他用于涉外发展服务方面的支出。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23.商业服务业等支出（类）其他商业服务业等支出（款）其他商业服务业等支出（项）：反映其他商业服务业等支出中除上述项目以外的其他支出。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24.住房保障（类）住房改革支出（款）住房公积金（项）：反映行政事业单位按人力资源和社会保障部、财政部规定的基本工资和津贴补贴以及规定比例为职工缴纳的住房公积金。</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25.基本支出：指为保障机构正常运转、完成日常工作任务而发生的人员支出和公用支出。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26.项目支出：指在基本支出之外为完成特定行政任务和事业发展目标所发生的支出。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cs="Times New Roman"/>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部门预算绩效评价报告</w:t>
      </w:r>
    </w:p>
    <w:p>
      <w:pPr>
        <w:rPr>
          <w:rFonts w:hint="default" w:ascii="Times New Roman" w:hAnsi="Times New Roman" w:cs="Times New Roman"/>
        </w:rPr>
      </w:pPr>
    </w:p>
    <w:p>
      <w:pPr>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一、部门（单位）基本情况</w:t>
      </w:r>
    </w:p>
    <w:p>
      <w:pPr>
        <w:spacing w:line="360" w:lineRule="auto"/>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（一）机构组成。</w:t>
      </w:r>
      <w:r>
        <w:rPr>
          <w:rFonts w:hint="default" w:ascii="Times New Roman" w:hAnsi="Times New Roman" w:eastAsia="仿宋_GB2312" w:cs="Times New Roman"/>
          <w:sz w:val="32"/>
          <w:szCs w:val="32"/>
        </w:rPr>
        <w:t>攀枝花市商务局内设科室11个，下属事业单位2个（中国国际贸易促进委员会攀枝花市委员会、攀枝花市商贸流通服务中心），独立核算机构1个，执行政府单位会计制度。</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（二）机构职能。</w:t>
      </w:r>
      <w:r>
        <w:rPr>
          <w:rFonts w:hint="default" w:ascii="Times New Roman" w:hAnsi="Times New Roman" w:eastAsia="仿宋" w:cs="Times New Roman"/>
          <w:sz w:val="32"/>
          <w:szCs w:val="32"/>
        </w:rPr>
        <w:t>攀枝花市商务局是市政府工作职能部门，承担全市商贸流通、服务业发展、对外经济贸易</w:t>
      </w:r>
      <w:r>
        <w:rPr>
          <w:rFonts w:hint="default" w:ascii="Times New Roman" w:hAnsi="Times New Roman" w:eastAsia="仿宋_GB2312" w:cs="Times New Roman"/>
          <w:sz w:val="32"/>
          <w:szCs w:val="32"/>
        </w:rPr>
        <w:t>等工作职责。</w:t>
      </w:r>
    </w:p>
    <w:p>
      <w:pPr>
        <w:snapToGrid w:val="0"/>
        <w:spacing w:line="360" w:lineRule="auto"/>
        <w:ind w:firstLine="642"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（三）人员概况。</w:t>
      </w:r>
      <w:r>
        <w:rPr>
          <w:rFonts w:hint="default" w:ascii="Times New Roman" w:hAnsi="Times New Roman" w:eastAsia="仿宋" w:cs="Times New Roman"/>
          <w:sz w:val="32"/>
          <w:szCs w:val="32"/>
        </w:rPr>
        <w:t>截至2023年末，实有人数47人，其中在职46人，包括公务员29人，参公3人，事业10人，工勤4人，离休1人；今年与上年人数一致，调离1人（其中：公务员1人），调入1人（其中：公务员1人），新增1人（其中：事业1人），公务员退休1人。</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二、部门资金收支情况</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（一）收入情况</w:t>
      </w:r>
      <w:r>
        <w:rPr>
          <w:rFonts w:hint="default" w:ascii="Times New Roman" w:hAnsi="Times New Roman" w:eastAsia="仿宋" w:cs="Times New Roman"/>
          <w:b/>
          <w:sz w:val="32"/>
          <w:szCs w:val="32"/>
        </w:rPr>
        <w:t>。</w:t>
      </w:r>
      <w:r>
        <w:rPr>
          <w:rFonts w:hint="default" w:ascii="Times New Roman" w:hAnsi="Times New Roman" w:eastAsia="仿宋" w:cs="Times New Roman"/>
          <w:sz w:val="32"/>
          <w:szCs w:val="32"/>
        </w:rPr>
        <w:t>攀枝花市商务局部门</w:t>
      </w:r>
      <w:r>
        <w:rPr>
          <w:rFonts w:hint="default" w:ascii="Times New Roman" w:hAnsi="Times New Roman" w:eastAsia="仿宋_GB2312" w:cs="Times New Roman"/>
          <w:sz w:val="32"/>
          <w:szCs w:val="32"/>
        </w:rPr>
        <w:t>2023年年初预算收入1684.85万元；决算报表收入2620.42万元。</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（二）支出情况。</w:t>
      </w:r>
      <w:r>
        <w:rPr>
          <w:rFonts w:hint="default" w:ascii="Times New Roman" w:hAnsi="Times New Roman" w:eastAsia="仿宋" w:cs="Times New Roman"/>
          <w:sz w:val="32"/>
          <w:szCs w:val="32"/>
        </w:rPr>
        <w:t>攀枝花市商务局部门</w:t>
      </w:r>
      <w:r>
        <w:rPr>
          <w:rFonts w:hint="default" w:ascii="Times New Roman" w:hAnsi="Times New Roman" w:eastAsia="仿宋_GB2312" w:cs="Times New Roman"/>
          <w:sz w:val="32"/>
          <w:szCs w:val="32"/>
        </w:rPr>
        <w:t>2023年年初预算支出1684.85万元；决算报表支出2620.42万元。</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（三）结余分配和结转结余情况。</w:t>
      </w:r>
      <w:r>
        <w:rPr>
          <w:rFonts w:hint="default" w:ascii="Times New Roman" w:hAnsi="Times New Roman" w:eastAsia="仿宋_GB2312" w:cs="Times New Roman"/>
          <w:sz w:val="32"/>
          <w:szCs w:val="32"/>
        </w:rPr>
        <w:t>攀枝花市商务局部门2023年决算报表无结转结余。</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三、部门预算绩效分析</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（一）部门预算总体绩效分析。</w:t>
      </w:r>
      <w:r>
        <w:rPr>
          <w:rFonts w:hint="default" w:ascii="Times New Roman" w:hAnsi="Times New Roman" w:eastAsia="仿宋_GB2312" w:cs="Times New Roman"/>
          <w:sz w:val="32"/>
          <w:szCs w:val="32"/>
        </w:rPr>
        <w:t>根据部门预算绩效评价指标体系“总体绩效”涉及二、三级指标进行逐项绩效分析并评分，依次包括履职效能、预算管理、财务管理、资产管理、采购管理等情况。</w:t>
      </w:r>
    </w:p>
    <w:p>
      <w:pPr>
        <w:shd w:val="clear" w:color="auto" w:fill="FFFFFF"/>
        <w:spacing w:line="480" w:lineRule="auto"/>
        <w:ind w:firstLine="480"/>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shd w:val="clear" w:color="auto" w:fill="FFFFFF"/>
        </w:rPr>
        <w:t>1.</w:t>
      </w:r>
      <w:r>
        <w:rPr>
          <w:rFonts w:hint="default" w:ascii="Times New Roman" w:hAnsi="Times New Roman" w:eastAsia="楷体_GB2312" w:cs="Times New Roman"/>
          <w:color w:val="000000"/>
          <w:kern w:val="0"/>
          <w:sz w:val="32"/>
          <w:szCs w:val="32"/>
          <w:shd w:val="clear" w:color="auto" w:fill="FFFFFF"/>
          <w:lang w:val="zh-CN"/>
        </w:rPr>
        <w:t>履职</w:t>
      </w:r>
      <w:r>
        <w:rPr>
          <w:rFonts w:hint="default" w:ascii="Times New Roman" w:hAnsi="Times New Roman" w:eastAsia="楷体_GB2312" w:cs="Times New Roman"/>
          <w:color w:val="000000"/>
          <w:kern w:val="0"/>
          <w:sz w:val="32"/>
          <w:szCs w:val="32"/>
          <w:shd w:val="clear" w:color="auto" w:fill="FFFFFF"/>
        </w:rPr>
        <w:t>效能</w:t>
      </w:r>
      <w:r>
        <w:rPr>
          <w:rFonts w:hint="default" w:ascii="Times New Roman" w:hAnsi="Times New Roman" w:eastAsia="楷体_GB2312" w:cs="Times New Roman"/>
          <w:color w:val="000000"/>
          <w:kern w:val="0"/>
          <w:sz w:val="32"/>
          <w:szCs w:val="32"/>
          <w:shd w:val="clear" w:color="auto" w:fill="FFFFFF"/>
          <w:lang w:val="zh-CN"/>
        </w:rPr>
        <w:t>。</w:t>
      </w:r>
      <w:r>
        <w:rPr>
          <w:rFonts w:hint="default" w:ascii="Times New Roman" w:hAnsi="Times New Roman" w:eastAsia="仿宋_GB2312" w:cs="Times New Roman"/>
          <w:sz w:val="32"/>
          <w:szCs w:val="32"/>
        </w:rPr>
        <w:t>2023年是全面贯彻党的二十大精神的开局之年，</w:t>
      </w:r>
      <w:r>
        <w:rPr>
          <w:rFonts w:hint="default" w:ascii="Times New Roman" w:hAnsi="Times New Roman" w:eastAsia="仿宋_GB2312" w:cs="Times New Roman"/>
          <w:sz w:val="32"/>
          <w:szCs w:val="32"/>
        </w:rPr>
        <w:t>市商务局坚持以推动落实“服务业发展年”各项工作任务为主线，</w:t>
      </w:r>
      <w:r>
        <w:rPr>
          <w:rFonts w:hint="default" w:ascii="Times New Roman" w:hAnsi="Times New Roman" w:eastAsia="仿宋_GB2312" w:cs="Times New Roman"/>
          <w:sz w:val="32"/>
          <w:szCs w:val="32"/>
        </w:rPr>
        <w:t>全力以赴稳外贸、促消费</w:t>
      </w:r>
      <w:r>
        <w:rPr>
          <w:rFonts w:hint="default" w:ascii="Times New Roman" w:hAnsi="Times New Roman" w:eastAsia="仿宋_GB2312" w:cs="Times New Roman"/>
          <w:sz w:val="32"/>
          <w:szCs w:val="32"/>
        </w:rPr>
        <w:t>，为攀枝花高质量发展建设共同富裕试验区贡献商务力量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（1）服务业发展夯实有力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一是政策保障措施更加完善；二是加快建设一批重点项目；三是创新举办一批特色活动；四是发展壮大一批重点企业。（2）外贸提质推进有实。一是常态化开行中老班列（攀枝花）；二是</w:t>
      </w:r>
      <w:r>
        <w:rPr>
          <w:rFonts w:hint="default" w:ascii="Times New Roman" w:hAnsi="Times New Roman" w:eastAsia="仿宋_GB2312" w:cs="Times New Roman"/>
          <w:sz w:val="32"/>
          <w:szCs w:val="32"/>
        </w:rPr>
        <w:t>“川行天下”</w:t>
      </w:r>
      <w:r>
        <w:rPr>
          <w:rFonts w:hint="default" w:ascii="Times New Roman" w:hAnsi="Times New Roman" w:eastAsia="仿宋_GB2312" w:cs="Times New Roman"/>
          <w:sz w:val="32"/>
          <w:szCs w:val="32"/>
        </w:rPr>
        <w:t>拓</w:t>
      </w:r>
      <w:r>
        <w:rPr>
          <w:rFonts w:hint="default" w:ascii="Times New Roman" w:hAnsi="Times New Roman" w:eastAsia="仿宋_GB2312" w:cs="Times New Roman"/>
          <w:sz w:val="32"/>
          <w:szCs w:val="32"/>
        </w:rPr>
        <w:t>市场活动</w:t>
      </w:r>
      <w:r>
        <w:rPr>
          <w:rFonts w:hint="default" w:ascii="Times New Roman" w:hAnsi="Times New Roman" w:eastAsia="仿宋_GB2312" w:cs="Times New Roman"/>
          <w:sz w:val="32"/>
          <w:szCs w:val="32"/>
        </w:rPr>
        <w:t>成效显著；三</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rPr>
        <w:t>实现多个外贸“首次”，</w:t>
      </w:r>
      <w:r>
        <w:rPr>
          <w:rFonts w:hint="default" w:ascii="Times New Roman" w:hAnsi="Times New Roman" w:eastAsia="仿宋_GB2312" w:cs="Times New Roman"/>
          <w:sz w:val="32"/>
          <w:szCs w:val="32"/>
        </w:rPr>
        <w:t xml:space="preserve"> 钛材首次实现批量出口韩国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市属国有企业首次实现开展国际贸易</w:t>
      </w:r>
      <w:r>
        <w:rPr>
          <w:rFonts w:hint="default" w:ascii="Times New Roman" w:hAnsi="Times New Roman" w:eastAsia="仿宋_GB2312" w:cs="Times New Roman"/>
          <w:sz w:val="32"/>
          <w:szCs w:val="32"/>
        </w:rPr>
        <w:t>；四是强化外贸主体培育；五是统筹推进规划编制。（3）消费促进</w:t>
      </w:r>
      <w:r>
        <w:rPr>
          <w:rFonts w:hint="default" w:ascii="Times New Roman" w:hAnsi="Times New Roman" w:eastAsia="仿宋_GB2312" w:cs="Times New Roman"/>
          <w:sz w:val="32"/>
          <w:szCs w:val="32"/>
        </w:rPr>
        <w:t>开展有序</w:t>
      </w:r>
      <w:r>
        <w:rPr>
          <w:rFonts w:hint="default" w:ascii="Times New Roman" w:hAnsi="Times New Roman" w:eastAsia="仿宋_GB2312" w:cs="Times New Roman"/>
          <w:sz w:val="32"/>
          <w:szCs w:val="32"/>
        </w:rPr>
        <w:t>。一是培育消费场景；二是发展特色餐饮；三是加强电商培育；四是畅通商贸流通；五是</w:t>
      </w:r>
      <w:r>
        <w:rPr>
          <w:rFonts w:hint="default" w:ascii="Times New Roman" w:hAnsi="Times New Roman" w:eastAsia="仿宋_GB2312" w:cs="Times New Roman"/>
          <w:sz w:val="32"/>
          <w:szCs w:val="32"/>
        </w:rPr>
        <w:t>多元化开展促消费活动。根据部门预算绩效评价指标体系“总体绩效”涉及二、三级指标进行逐项绩效分析并评分该项应得15分。</w:t>
      </w:r>
    </w:p>
    <w:p>
      <w:pPr>
        <w:shd w:val="clear" w:color="auto" w:fill="FFFFFF"/>
        <w:spacing w:line="480" w:lineRule="auto"/>
        <w:ind w:firstLine="480"/>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shd w:val="clear" w:color="auto" w:fill="FFFFFF"/>
        </w:rPr>
        <w:t>2.</w:t>
      </w:r>
      <w:r>
        <w:rPr>
          <w:rFonts w:hint="default" w:ascii="Times New Roman" w:hAnsi="Times New Roman" w:eastAsia="楷体_GB2312" w:cs="Times New Roman"/>
          <w:color w:val="000000"/>
          <w:kern w:val="0"/>
          <w:sz w:val="32"/>
          <w:szCs w:val="32"/>
          <w:shd w:val="clear" w:color="auto" w:fill="FFFFFF"/>
          <w:lang w:val="zh-CN"/>
        </w:rPr>
        <w:t>预算管理。</w:t>
      </w:r>
      <w:r>
        <w:rPr>
          <w:rFonts w:hint="default" w:ascii="Times New Roman" w:hAnsi="Times New Roman" w:eastAsia="仿宋_GB2312" w:cs="Times New Roman"/>
          <w:sz w:val="32"/>
          <w:szCs w:val="32"/>
        </w:rPr>
        <w:t>一从预算编制质量看，我局严格按要求编制年初部门预算，年初预算编制科学准确；二从支出执行进度看，及时完成部门预算，合理合规使用各项资金，将所有收支项目纳入绩效评价范围，遵守财经纪律，落实财务制度要求。三从严控一般性支出看，严控“三公经费”，办公费、会议、培训、差旅、办公设备购置等一般性支出情况，在预算编制中坚持“量入为出，收支平衡，统筹兼顾，保证重点，勤俭节约”的原则，以工作开展的实际需要为前提，严格按照预算编制的有关要求，真实、及时、准确编制并报送预决算报告。根据部门预算绩效评价指标体系“总体绩效”涉及二、三级指标进行逐项评分该项应得24分。</w:t>
      </w:r>
    </w:p>
    <w:p>
      <w:pPr>
        <w:shd w:val="clear" w:color="auto" w:fill="FFFFFF"/>
        <w:spacing w:line="480" w:lineRule="auto"/>
        <w:ind w:firstLine="480"/>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shd w:val="clear" w:color="auto" w:fill="FFFFFF"/>
        </w:rPr>
        <w:t>3.</w:t>
      </w:r>
      <w:r>
        <w:rPr>
          <w:rFonts w:hint="default" w:ascii="Times New Roman" w:hAnsi="Times New Roman" w:eastAsia="楷体_GB2312" w:cs="Times New Roman"/>
          <w:color w:val="000000"/>
          <w:kern w:val="0"/>
          <w:sz w:val="32"/>
          <w:szCs w:val="32"/>
          <w:shd w:val="clear" w:color="auto" w:fill="FFFFFF"/>
          <w:lang w:val="zh-CN"/>
        </w:rPr>
        <w:t>财务管理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一从财务管理制度看，</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rPr>
        <w:t>局已建立财务管理制度和不断健全完善单位内控制度，财务工作中严格执行相关制度；二从财务岗位设置看，</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rPr>
        <w:t>局财务岗位设置符合相关财务管理制度要求；三从资金使用规范看，</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rPr>
        <w:t>局资金使用符合相关财务管理制度规定，确保资金安全、合理、有效使用，最大限度发挥财政资金使用效益。根据部门预算绩效评价指标体系“总体绩效”涉及二、三级指标进行逐项评分该项应得10分。</w:t>
      </w:r>
    </w:p>
    <w:p>
      <w:pPr>
        <w:shd w:val="clear" w:color="auto" w:fill="FFFFFF"/>
        <w:spacing w:line="480" w:lineRule="auto"/>
        <w:ind w:firstLine="480"/>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shd w:val="clear" w:color="auto" w:fill="FFFFFF"/>
        </w:rPr>
        <w:t>4.</w:t>
      </w:r>
      <w:r>
        <w:rPr>
          <w:rFonts w:hint="default" w:ascii="Times New Roman" w:hAnsi="Times New Roman" w:eastAsia="楷体_GB2312" w:cs="Times New Roman"/>
          <w:color w:val="000000"/>
          <w:kern w:val="0"/>
          <w:sz w:val="32"/>
          <w:szCs w:val="32"/>
          <w:shd w:val="clear" w:color="auto" w:fill="FFFFFF"/>
          <w:lang w:val="zh-CN"/>
        </w:rPr>
        <w:t>资产管理。</w:t>
      </w:r>
      <w:r>
        <w:rPr>
          <w:rFonts w:hint="default" w:ascii="Times New Roman" w:hAnsi="Times New Roman" w:eastAsia="仿宋_GB2312" w:cs="Times New Roman"/>
          <w:sz w:val="32"/>
          <w:szCs w:val="32"/>
        </w:rPr>
        <w:t>一从人均资产变化率看，部门人均资产变化情况小于省直行政事业单位人均资产变化率，部门人均资产增长率为0；二从资产利用率看，局办公家具超最低使用年限资产利用率大于省直行政事业单位平均值；三从资产盘活率看，近两年均无闲置资产。根据部门预算绩效评价指标体系“总体绩效”涉及二、三级指标进行逐项评分该项应得9分。</w:t>
      </w:r>
    </w:p>
    <w:p>
      <w:pPr>
        <w:shd w:val="clear" w:color="auto" w:fill="FFFFFF"/>
        <w:spacing w:line="480" w:lineRule="auto"/>
        <w:ind w:firstLine="480"/>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kern w:val="0"/>
          <w:sz w:val="32"/>
          <w:szCs w:val="32"/>
          <w:shd w:val="clear" w:color="auto" w:fill="FFFFFF"/>
        </w:rPr>
        <w:t>5.</w:t>
      </w:r>
      <w:r>
        <w:rPr>
          <w:rFonts w:hint="default" w:ascii="Times New Roman" w:hAnsi="Times New Roman" w:eastAsia="楷体_GB2312" w:cs="Times New Roman"/>
          <w:color w:val="000000"/>
          <w:kern w:val="0"/>
          <w:sz w:val="32"/>
          <w:szCs w:val="32"/>
          <w:shd w:val="clear" w:color="auto" w:fill="FFFFFF"/>
          <w:lang w:val="zh-CN"/>
        </w:rPr>
        <w:t>采购管理。</w:t>
      </w:r>
      <w:r>
        <w:rPr>
          <w:rFonts w:hint="default" w:ascii="Times New Roman" w:hAnsi="Times New Roman" w:eastAsia="仿宋_GB2312" w:cs="Times New Roman"/>
          <w:sz w:val="32"/>
          <w:szCs w:val="32"/>
        </w:rPr>
        <w:t>本年无采购。</w:t>
      </w:r>
      <w:r>
        <w:rPr>
          <w:rFonts w:hint="default" w:ascii="Times New Roman" w:hAnsi="Times New Roman" w:eastAsia="仿宋_GB2312" w:cs="Times New Roman"/>
          <w:sz w:val="32"/>
          <w:szCs w:val="32"/>
        </w:rPr>
        <w:t>根据部门预算绩效评价指标体系“总体绩效”涉及二、三级指标进行逐项评分该项应得6分。</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（二）部门预算项目绩效分析。</w:t>
      </w:r>
      <w:r>
        <w:rPr>
          <w:rFonts w:hint="default" w:ascii="Times New Roman" w:hAnsi="Times New Roman" w:eastAsia="仿宋_GB2312" w:cs="Times New Roman"/>
          <w:sz w:val="32"/>
          <w:szCs w:val="32"/>
          <w:lang w:val="zh-CN"/>
        </w:rPr>
        <w:t>填报以下数据，并根据部门预算绩效评价指标体系“项目绩效”涉及二、三级指标进行逐项绩效分析并评分，依次包括项目决策、项目执行、目标实现等情况。</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常年项目绩效分析。该类项目总数4个，涉及预算总金额4.54万元，1—12月预算执行总体进度为100%，其中：预算结余率大于10%的项目共计0个。</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阶段（一次性）项目绩效分析。该类项目总数13个，涉及预算总金额842.23万元，1—12月预算执行总体进度为100 %，其中：预算结余率大于10%的项目共计0个。</w:t>
      </w:r>
    </w:p>
    <w:p>
      <w:pPr>
        <w:shd w:val="clear" w:color="auto" w:fill="FFFFFF"/>
        <w:spacing w:line="480" w:lineRule="auto"/>
        <w:ind w:firstLine="480"/>
        <w:rPr>
          <w:rFonts w:hint="default" w:ascii="Times New Roman" w:hAnsi="Times New Roman" w:eastAsia="仿宋_GB2312" w:cs="Times New Roman"/>
          <w:sz w:val="32"/>
          <w:szCs w:val="32"/>
          <w:lang w:val="zh-CN"/>
        </w:rPr>
      </w:pPr>
      <w:r>
        <w:rPr>
          <w:rFonts w:hint="default" w:ascii="Times New Roman" w:hAnsi="Times New Roman" w:eastAsia="楷体_GB2312" w:cs="Times New Roman"/>
          <w:color w:val="000000"/>
          <w:kern w:val="0"/>
          <w:sz w:val="32"/>
          <w:szCs w:val="32"/>
          <w:shd w:val="clear" w:color="auto" w:fill="FFFFFF"/>
        </w:rPr>
        <w:t>1.项目决策。</w:t>
      </w:r>
      <w:r>
        <w:rPr>
          <w:rFonts w:hint="default" w:ascii="Times New Roman" w:hAnsi="Times New Roman" w:eastAsia="仿宋_GB2312" w:cs="Times New Roman"/>
          <w:sz w:val="32"/>
          <w:szCs w:val="32"/>
          <w:lang w:val="zh-CN"/>
        </w:rPr>
        <w:t>一从决策程序看，单位预算项目设立已按规定履行评估论证、申报程序；二从目标设置看，涉及项目的</w:t>
      </w:r>
      <w:r>
        <w:rPr>
          <w:rFonts w:hint="default" w:ascii="Times New Roman" w:hAnsi="Times New Roman" w:eastAsia="仿宋_GB2312" w:cs="Times New Roman"/>
          <w:sz w:val="32"/>
          <w:szCs w:val="32"/>
          <w:lang w:val="zh-CN"/>
        </w:rPr>
        <w:t>科</w:t>
      </w:r>
      <w:r>
        <w:rPr>
          <w:rFonts w:hint="default" w:ascii="Times New Roman" w:hAnsi="Times New Roman" w:eastAsia="仿宋_GB2312" w:cs="Times New Roman"/>
          <w:sz w:val="32"/>
          <w:szCs w:val="32"/>
          <w:lang w:val="zh-CN"/>
        </w:rPr>
        <w:t>室对项目进行全面的分析和评估，充分考虑项目的可行性，科学合理的设置项目的绩效目标，同时充分考虑项目的风险及不确定性，确保项目实施过程顺利进行，单位预算项目绩效目标与计划期内的任务量、预算安排的资金量匹配情况，绩效目标设置均科学合理、规范完整、量化细化、预算匹配；三从项目入库看，单位预算项目已在规定时间完成项目入库。根据部门预算绩效评价指标体系“项目绩效”涉及二、三级指标进行逐项绩效评分应得12分。</w:t>
      </w:r>
    </w:p>
    <w:p>
      <w:pPr>
        <w:shd w:val="clear" w:color="auto" w:fill="FFFFFF"/>
        <w:spacing w:line="480" w:lineRule="auto"/>
        <w:ind w:firstLine="480"/>
        <w:rPr>
          <w:rFonts w:hint="default" w:ascii="Times New Roman" w:hAnsi="Times New Roman" w:eastAsia="仿宋_GB2312" w:cs="Times New Roman"/>
          <w:sz w:val="32"/>
          <w:szCs w:val="32"/>
          <w:lang w:val="zh-CN"/>
        </w:rPr>
      </w:pPr>
      <w:r>
        <w:rPr>
          <w:rFonts w:hint="default" w:ascii="Times New Roman" w:hAnsi="Times New Roman" w:eastAsia="楷体_GB2312" w:cs="Times New Roman"/>
          <w:color w:val="000000"/>
          <w:kern w:val="0"/>
          <w:sz w:val="32"/>
          <w:szCs w:val="32"/>
          <w:shd w:val="clear" w:color="auto" w:fill="FFFFFF"/>
        </w:rPr>
        <w:t>2.项目执行。</w:t>
      </w:r>
      <w:r>
        <w:rPr>
          <w:rFonts w:hint="default" w:ascii="Times New Roman" w:hAnsi="Times New Roman" w:eastAsia="仿宋_GB2312" w:cs="Times New Roman"/>
          <w:sz w:val="32"/>
          <w:szCs w:val="32"/>
          <w:lang w:val="zh-CN"/>
        </w:rPr>
        <w:t>一从执行方向看，单位预算项目实际列支内容与绩效目标设置方向相符，本年度项目在实施过程中都按照预定的方案顺利进行；二从项目调整看，单位预算项目无调整项目，在实施过程中未出现与预期目标偏差现象；三从执行结果看，单位预算项目预算执行情况良好，无结余。根据部门预算绩效评价指标体系“项目绩效”涉及二、三级指标进行逐项绩效评分应得10分。</w:t>
      </w:r>
    </w:p>
    <w:p>
      <w:pPr>
        <w:shd w:val="clear" w:color="auto" w:fill="FFFFFF"/>
        <w:spacing w:line="480" w:lineRule="auto"/>
        <w:ind w:firstLine="480"/>
        <w:rPr>
          <w:rFonts w:hint="default" w:ascii="Times New Roman" w:hAnsi="Times New Roman" w:eastAsia="仿宋_GB2312" w:cs="Times New Roman"/>
          <w:sz w:val="32"/>
          <w:szCs w:val="32"/>
          <w:lang w:val="zh-CN"/>
        </w:rPr>
      </w:pPr>
      <w:r>
        <w:rPr>
          <w:rFonts w:hint="default" w:ascii="Times New Roman" w:hAnsi="Times New Roman" w:eastAsia="楷体_GB2312" w:cs="Times New Roman"/>
          <w:color w:val="000000"/>
          <w:kern w:val="0"/>
          <w:sz w:val="32"/>
          <w:szCs w:val="32"/>
          <w:shd w:val="clear" w:color="auto" w:fill="FFFFFF"/>
        </w:rPr>
        <w:t>3.目标实现。</w:t>
      </w:r>
      <w:r>
        <w:rPr>
          <w:rFonts w:hint="default" w:ascii="Times New Roman" w:hAnsi="Times New Roman" w:eastAsia="仿宋_GB2312" w:cs="Times New Roman"/>
          <w:sz w:val="32"/>
          <w:szCs w:val="32"/>
          <w:lang w:val="zh-CN"/>
        </w:rPr>
        <w:t>一从目标完成看，单位预算项目绩效目标数量指标均已完成；二从目标偏离看，项目绩效目标数量指标实现程度与预期目标无偏离；三从实现效果看，部门预算项目绩效目标效益指标实施效果中本年度所有的项目都按年初设定的目标全面完成。根据部门预算绩效评价指标体系“项目绩效”涉及二、三级指标进行逐项绩效评分应得11分。</w:t>
      </w:r>
    </w:p>
    <w:p>
      <w:pPr>
        <w:shd w:val="clear" w:color="auto" w:fill="FFFFFF"/>
        <w:spacing w:line="480" w:lineRule="auto"/>
        <w:ind w:firstLine="480"/>
        <w:rPr>
          <w:rFonts w:hint="default" w:ascii="Times New Roman" w:hAnsi="Times New Roman" w:cs="Times New Roman"/>
          <w:color w:val="000000"/>
          <w:sz w:val="24"/>
        </w:rPr>
      </w:pPr>
      <w:r>
        <w:rPr>
          <w:rFonts w:hint="default" w:ascii="Times New Roman" w:hAnsi="Times New Roman" w:eastAsia="楷体_GB2312" w:cs="Times New Roman"/>
          <w:b/>
          <w:sz w:val="32"/>
          <w:szCs w:val="32"/>
        </w:rPr>
        <w:t>（三）重点领域绩效分析。</w:t>
      </w:r>
      <w:r>
        <w:rPr>
          <w:rFonts w:hint="default" w:ascii="Times New Roman" w:hAnsi="Times New Roman" w:eastAsia="仿宋_GB2312" w:cs="Times New Roman"/>
          <w:sz w:val="32"/>
          <w:szCs w:val="32"/>
          <w:lang w:val="zh-CN"/>
        </w:rPr>
        <w:t>2023年不涉及重点领域项目。</w:t>
      </w:r>
    </w:p>
    <w:p>
      <w:pPr>
        <w:shd w:val="clear" w:color="auto" w:fill="FFFFFF"/>
        <w:spacing w:line="480" w:lineRule="auto"/>
        <w:ind w:firstLine="48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（四）绩效结果应用情况。</w:t>
      </w:r>
      <w:r>
        <w:rPr>
          <w:rFonts w:hint="default" w:ascii="Times New Roman" w:hAnsi="Times New Roman" w:eastAsia="仿宋_GB2312" w:cs="Times New Roman"/>
          <w:sz w:val="32"/>
          <w:szCs w:val="32"/>
          <w:lang w:val="zh-CN"/>
        </w:rPr>
        <w:t>本着持续深入落实过紧日子的要求，严格执行绩效管理制度，加强绩效评价结果应用，对评价中出现的问题及时进行整改，对不合理的支出及时调整，切实提高财政资金使用绩效，并按相关要求于财政批复后二十日内及时向社会公开了本部门预算决算及相关绩效信息，局整体支出绩效良好，受到了社会的一致好评，满意率达到95%以上。</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四、评价结论及建议</w:t>
      </w:r>
    </w:p>
    <w:p>
      <w:pPr>
        <w:shd w:val="clear" w:color="auto" w:fill="FFFFFF"/>
        <w:spacing w:line="480" w:lineRule="auto"/>
        <w:ind w:firstLine="48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（一）评价结论。</w:t>
      </w:r>
      <w:r>
        <w:rPr>
          <w:rFonts w:hint="default" w:ascii="Times New Roman" w:hAnsi="Times New Roman" w:eastAsia="仿宋_GB2312" w:cs="Times New Roman"/>
          <w:sz w:val="32"/>
          <w:szCs w:val="32"/>
          <w:lang w:val="zh-CN"/>
        </w:rPr>
        <w:t>2023年，我局积极履职，强化管理，很好地完成了年度工作目标。通过加强预算收支管理，不断完善内部管理制度，梳理内部管理流程，部门整体支出管理水平得到提升，部门整体支出绩效良好。根据部门整体支出绩效评价指标内容，我局自评得分97分。</w:t>
      </w:r>
    </w:p>
    <w:p>
      <w:pPr>
        <w:shd w:val="clear" w:color="auto" w:fill="FFFFFF"/>
        <w:spacing w:line="480" w:lineRule="auto"/>
        <w:ind w:firstLine="48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（二）存在问题。</w:t>
      </w:r>
      <w:r>
        <w:rPr>
          <w:rFonts w:hint="default" w:ascii="Times New Roman" w:hAnsi="Times New Roman" w:eastAsia="仿宋_GB2312" w:cs="Times New Roman"/>
          <w:sz w:val="32"/>
          <w:szCs w:val="32"/>
          <w:lang w:val="zh-CN"/>
        </w:rPr>
        <w:t>资金使用效益有待进一步提高。</w:t>
      </w:r>
    </w:p>
    <w:p>
      <w:pPr>
        <w:shd w:val="clear" w:color="auto" w:fill="FFFFFF"/>
        <w:spacing w:line="480" w:lineRule="auto"/>
        <w:ind w:firstLine="48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（三）改进建议。</w:t>
      </w:r>
      <w:r>
        <w:rPr>
          <w:rFonts w:hint="default" w:ascii="Times New Roman" w:hAnsi="Times New Roman" w:eastAsia="仿宋_GB2312" w:cs="Times New Roman"/>
          <w:sz w:val="32"/>
          <w:szCs w:val="32"/>
          <w:lang w:val="zh-CN"/>
        </w:rPr>
        <w:t>加强预算管理，定期做好预算执行情况分析。</w:t>
      </w:r>
    </w:p>
    <w:p>
      <w:pPr>
        <w:rPr>
          <w:rFonts w:hint="default" w:ascii="Times New Roman" w:hAnsi="Times New Roman" w:cs="Times New Roman"/>
        </w:rPr>
      </w:pPr>
      <w:r>
        <w:rPr>
          <w:rFonts w:hint="default" w:ascii="Times New Roman" w:hAnsi="Times New Roman" w:cs="Times New Roman"/>
        </w:rPr>
        <w:br w:type="page"/>
      </w:r>
    </w:p>
    <w:tbl>
      <w:tblPr>
        <w:tblStyle w:val="16"/>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01"/>
        <w:gridCol w:w="587"/>
        <w:gridCol w:w="601"/>
        <w:gridCol w:w="1353"/>
        <w:gridCol w:w="1245"/>
        <w:gridCol w:w="2262"/>
        <w:gridCol w:w="983"/>
        <w:gridCol w:w="1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850" w:type="dxa"/>
            <w:gridSpan w:val="8"/>
            <w:vAlign w:val="center"/>
          </w:tcPr>
          <w:p>
            <w:pPr>
              <w:widowControl/>
              <w:jc w:val="center"/>
              <w:rPr>
                <w:rFonts w:hint="default"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rPr>
              <w:t>市级部门整体支出绩效自评表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850" w:type="dxa"/>
            <w:gridSpan w:val="8"/>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78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部门名称（盖章）</w:t>
            </w:r>
          </w:p>
        </w:tc>
        <w:tc>
          <w:tcPr>
            <w:tcW w:w="48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攀枝花市商务局</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下属单位个数</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89"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年度资金总额</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（万元）</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全年预算数</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实际完成数</w:t>
            </w: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9"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资金来源：（1）财政拨款</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2620.42</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2620.42</w:t>
            </w: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789"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（2）其他资金</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789"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资金结构：（1）基本支出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1773.64</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1773.64</w:t>
            </w: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89"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（2）项目支出</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846.78</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846.78</w:t>
            </w:r>
          </w:p>
        </w:tc>
        <w:tc>
          <w:tcPr>
            <w:tcW w:w="22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年度总体目标</w:t>
            </w:r>
          </w:p>
        </w:tc>
        <w:tc>
          <w:tcPr>
            <w:tcW w:w="25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年度设定目标</w:t>
            </w:r>
          </w:p>
        </w:tc>
        <w:tc>
          <w:tcPr>
            <w:tcW w:w="570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71"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25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1.抓好社消零、货物进出口、服务业增加值等指标增长工作。2.抓好转企升规工作。3.抓好重点工作落实。4.抓好重点项目建设。5.抓好消费升级。6.抓好商务领域“五经普”工作。</w:t>
            </w:r>
          </w:p>
        </w:tc>
        <w:tc>
          <w:tcPr>
            <w:tcW w:w="570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全面完成各项目标任务。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78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绩效指标</w:t>
            </w: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分值</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指标解释</w:t>
            </w:r>
          </w:p>
        </w:tc>
        <w:tc>
          <w:tcPr>
            <w:tcW w:w="22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计分标准</w:t>
            </w:r>
          </w:p>
        </w:tc>
        <w:tc>
          <w:tcPr>
            <w:tcW w:w="9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自评得分</w:t>
            </w:r>
          </w:p>
        </w:tc>
        <w:tc>
          <w:tcPr>
            <w:tcW w:w="12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评分依据、扣分原因及改进措施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一级指标</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二级指标</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三级指标</w:t>
            </w:r>
          </w:p>
        </w:tc>
        <w:tc>
          <w:tcPr>
            <w:tcW w:w="135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2262"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98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1218"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1" w:hRule="atLeast"/>
        </w:trPr>
        <w:tc>
          <w:tcPr>
            <w:tcW w:w="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管理效能（70分）</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目标管理（15分）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目标编制质量</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评价部门绩效目标是否要素完整、细化量化并集体决策。</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有项目绩效目标的部门（单位），根据部门整体支出绩效目标和项目支出绩效目标编制质量打分；无项目绩效目标的部门，根据部门整体支出绩效目标编制质量打分。</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 xml:space="preserve">1.绩效目标编制要素完整的，得2分，否则酌情扣分；2.绩效指标细化量化的，得6分，否则酌情扣分。（其中：部门整体支出绩效目标要能体现部门“三定”方案规定的部门职能，能体现部门年度工作计划，要与年度部门预算资金相匹配；项目支出绩效目标能反映项目产出、效益，要与项目预算资金向匹配）；3.评价部门绩效目标纳入部门党组（委）会（办公会）集体决策范围的得2分，否则不得分。                             </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 xml:space="preserve">                                                               </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6"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目标实现程度</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评价部门绩效目标实际实现程度与预期目标的偏离度。</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以项目完成数量指标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15</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1"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tcBorders>
              <w:top w:val="single" w:color="000000" w:sz="4" w:space="0"/>
              <w:left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制度管理（10分）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部门预算及财务管理制度健全性</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评价部门为加强预算管理、规范财务行为而制定的管理制度是否健全完整。</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1.是否已制定或具有预算资金管理办法、内部财务管理制度、会计核算制度等管理制度；2.相关管理制度是否合法、合规、完整；3.相关管理制度是否得到有效执行。</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对上述标准，全部符合的得满分，不符合酌情扣分。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6"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支出控制（10分）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公用经费控制率</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部门公用经费支出控制情况。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计算部门日常公用经费年初预算数与决算数偏差程度,                                                           预决算偏差程度在10%以内的，得5分。偏差度在10%-20%之间的，得2分，偏差度超过20%的，不得分。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6"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“三公经费”控制率</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部门年度“三公经费”实际支出数与预算安排数的比率，用于反映和考核部门对“三公经费”市级控制程度。</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rPr>
              <w:t>三公经费</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rPr>
              <w:t>控制率=（三公经费实际支出数/三公经费全年预算安排数）X100%。控制率&lt;=100%，得满分，控制率&gt;=100%，不得分。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1"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动态调整（15分）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及时处置</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评价部门开展绩效运行监控后，将绩效监控结果应用到预算调整的情况。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1.部门开展绩效监控发现部门预算项目或专项预算项目绩效目标实现存在偏差，调整绩效目标并报财政部门备案的，得10分。</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2.部门开展绩效监控发现预算项目或专项预算项目不具备实施条件需调整项目、调整资金等，开展结果运用并报财政部门备案的，得10分。</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 xml:space="preserve">3.绩效监控未开展结果应用，经财政部门核实确不具备开展绩效结果应用的，得10分，否则得0分。 </w:t>
            </w:r>
            <w:r>
              <w:rPr>
                <w:rFonts w:hint="default" w:ascii="Times New Roman" w:hAnsi="Times New Roman" w:cs="Times New Roman"/>
                <w:color w:val="000000"/>
                <w:kern w:val="0"/>
                <w:sz w:val="20"/>
                <w:szCs w:val="20"/>
              </w:rPr>
              <w:br w:type="textWrapping"/>
            </w:r>
            <w:r>
              <w:rPr>
                <w:rFonts w:hint="default" w:ascii="Times New Roman" w:hAnsi="Times New Roman" w:cs="Times New Roman"/>
                <w:color w:val="000000"/>
                <w:kern w:val="0"/>
                <w:sz w:val="20"/>
                <w:szCs w:val="20"/>
              </w:rPr>
              <w:t xml:space="preserve">该指标最高得分为10分。  </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1"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执行进度</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评价部门在6、9、11月的预算执行情况。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部门预算执行进度在6、9、11月应达到序时进度的80%、90%、90%，即实际支出进度分别达到40%、67.5%、82.5%。                                                     6、9、11月部门预算执行进度达到量化指标的分别得1、2、2分，未达到目标进度的的按其实际进度占目标进度的比重计算得分。                                             </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restart"/>
            <w:tcBorders>
              <w:top w:val="single" w:color="000000" w:sz="4" w:space="0"/>
              <w:left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完成结果（20分）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预算完成</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评价部门预算项目年终预算执行情况。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部门预算项目12月预算执行进度达到100%的，得10分，未达100%的，按照实际进度量化计算得分。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continue"/>
            <w:tcBorders>
              <w:top w:val="single" w:color="000000" w:sz="4" w:space="0"/>
              <w:left w:val="single" w:color="000000" w:sz="4" w:space="0"/>
              <w:right w:val="single" w:color="000000" w:sz="4" w:space="0"/>
            </w:tcBorders>
            <w:vAlign w:val="center"/>
          </w:tcPr>
          <w:p>
            <w:pPr>
              <w:rPr>
                <w:rFonts w:hint="default" w:ascii="Times New Roman" w:hAnsi="Times New Roman" w:cs="Times New Roman"/>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资金结余率（低效无效率）</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评价部门预算项目年终资金结余情况。                 </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部门预算项目资金结余率小于0.1的项目数/部门预算项目总数*5</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6"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continue"/>
            <w:tcBorders>
              <w:top w:val="single" w:color="000000" w:sz="4" w:space="0"/>
              <w:left w:val="single" w:color="000000" w:sz="4" w:space="0"/>
              <w:right w:val="single" w:color="000000" w:sz="4" w:space="0"/>
            </w:tcBorders>
            <w:vAlign w:val="center"/>
          </w:tcPr>
          <w:p>
            <w:pPr>
              <w:rPr>
                <w:rFonts w:hint="default" w:ascii="Times New Roman" w:hAnsi="Times New Roman" w:cs="Times New Roman"/>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违规记录</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根据审计监督、财政检查结果反映部门上一年度部门预算管理是否合规。</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依据评价年度审计监督、财政检查结果，出现部门预算管理方面违纪违规问题的，每个问题扣0.5分，直至扣完。</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6" w:hRule="atLeast"/>
        </w:trPr>
        <w:tc>
          <w:tcPr>
            <w:tcW w:w="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绩效结果应用（20分）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内部应用（6分）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预算挂钩</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6</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部门内部绩效结果与预算挂钩情况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将内设机构和下属单位绩效自评纳入考核体系，建立对内设机构和下属单位预算与绩效挂钩机制的，得6分，否则酌情扣分。    </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6</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tcBorders>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信息公开（4分)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信息公开</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4</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评价部门是否按要求将部门整体绩效自评情况和自行组织的评价情况向社会公开，是否将绩效目标在规定时间内公开</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按要求将相关绩效自评信息随同决算公开的，得2分，否则不得分。按照要求将绩效目标随同预算公开的，得2分，否则不得分。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4</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整改反馈（10分）</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问题整改</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评价部门根据绩效管理结果整改问题、完善政策、改进管理的情况。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针对各级绩效管理过程中（包括绩效目标核查、绩效监控核查和重点绩效评价）提出的问题进行整改，得5分，否则酌情扣分。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应用反馈</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评价部门按要求及时向财政部门反馈结果应用情况。</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部门在规定时间内向财政部门反馈应用绩效结果报告的，得5分，否则不得分。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6" w:hRule="atLeast"/>
        </w:trPr>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自评质量（10分）</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自评质量</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自评质量</w:t>
            </w:r>
          </w:p>
        </w:tc>
        <w:tc>
          <w:tcPr>
            <w:tcW w:w="135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评价部门整体支出自评工作开展质量</w:t>
            </w:r>
          </w:p>
        </w:tc>
        <w:tc>
          <w:tcPr>
            <w:tcW w:w="22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9</w:t>
            </w:r>
          </w:p>
        </w:tc>
      </w:tr>
    </w:tbl>
    <w:p>
      <w:pPr>
        <w:pStyle w:val="2"/>
        <w:rPr>
          <w:rFonts w:hint="default" w:ascii="Times New Roman" w:hAnsi="Times New Roman" w:cs="Times New Roman"/>
          <w:lang w:val="zh-CN"/>
        </w:rPr>
      </w:pPr>
      <w:r>
        <w:rPr>
          <w:rFonts w:hint="default" w:ascii="Times New Roman" w:hAnsi="Times New Roman" w:cs="Times New Roman"/>
          <w:lang w:val="zh-CN"/>
        </w:rPr>
        <w:br w:type="page"/>
      </w:r>
    </w:p>
    <w:p>
      <w:pPr>
        <w:ind w:firstLine="640" w:firstLineChars="200"/>
        <w:rPr>
          <w:rFonts w:hint="default" w:ascii="Times New Roman" w:hAnsi="Times New Roman" w:eastAsia="宋体" w:cs="Times New Roman"/>
          <w:sz w:val="32"/>
          <w:szCs w:val="32"/>
          <w:lang w:val="zh-CN"/>
        </w:rPr>
      </w:pPr>
      <w:r>
        <w:rPr>
          <w:rFonts w:hint="default" w:ascii="Times New Roman" w:hAnsi="Times New Roman" w:eastAsia="宋体" w:cs="Times New Roman"/>
          <w:sz w:val="32"/>
          <w:szCs w:val="32"/>
          <w:lang w:val="zh-CN"/>
        </w:rPr>
        <w:t>附表：</w:t>
      </w:r>
      <w:r>
        <w:rPr>
          <w:rFonts w:hint="default" w:ascii="Times New Roman" w:hAnsi="Times New Roman" w:eastAsia="宋体" w:cs="Times New Roman"/>
          <w:sz w:val="32"/>
          <w:szCs w:val="32"/>
        </w:rPr>
        <w:t>部门</w:t>
      </w:r>
      <w:r>
        <w:rPr>
          <w:rFonts w:hint="default" w:ascii="Times New Roman" w:hAnsi="Times New Roman" w:eastAsia="宋体" w:cs="Times New Roman"/>
          <w:sz w:val="32"/>
          <w:szCs w:val="32"/>
          <w:lang w:val="zh-CN"/>
        </w:rPr>
        <w:t>预算项目支出绩效自评表（2023年度）（见附件</w:t>
      </w:r>
      <w:r>
        <w:rPr>
          <w:rFonts w:hint="default" w:ascii="Times New Roman" w:hAnsi="Times New Roman" w:eastAsia="宋体" w:cs="Times New Roman"/>
          <w:sz w:val="32"/>
          <w:szCs w:val="32"/>
          <w:lang w:val="zh-CN"/>
        </w:rPr>
        <w:t>2</w:t>
      </w:r>
      <w:r>
        <w:rPr>
          <w:rFonts w:hint="default" w:ascii="Times New Roman" w:hAnsi="Times New Roman" w:eastAsia="宋体" w:cs="Times New Roman"/>
          <w:sz w:val="32"/>
          <w:szCs w:val="32"/>
          <w:lang w:val="zh-CN"/>
        </w:rPr>
        <w:t>）</w:t>
      </w: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autoSpaceDE w:val="0"/>
        <w:spacing w:line="0" w:lineRule="atLeas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2023年促消费活动资金专项预算项目</w:t>
      </w:r>
    </w:p>
    <w:p>
      <w:pPr>
        <w:autoSpaceDE w:val="0"/>
        <w:spacing w:line="0" w:lineRule="atLeas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绩效评价报告</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pPr>
        <w:adjustRightInd w:val="0"/>
        <w:snapToGrid w:val="0"/>
        <w:spacing w:line="560" w:lineRule="exact"/>
        <w:ind w:firstLine="72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（一）设立背景及基本情况。</w:t>
      </w:r>
      <w:r>
        <w:rPr>
          <w:rFonts w:hint="default" w:ascii="Times New Roman" w:hAnsi="Times New Roman" w:eastAsia="仿宋_GB2312" w:cs="Times New Roman"/>
          <w:sz w:val="32"/>
          <w:szCs w:val="32"/>
        </w:rPr>
        <w:t>根据《四川省商务厅四川省财政厅关于印发&lt;进一步恢复和扩大消费若干政策&gt;》（川商函〔2023〕12号）要求，我局会同市财政局报送了《关于审定&lt;攀枝花市进一步恢复和扩大消费若干政策的实施细则（送审稿）&gt;的请示》（攀商〔2023〕8号），为加快推动消费复苏，进一步恢复和扩大消费，繁荣活跃全市消费市场，全力促进消费持续恢复和升级，进一步巩固消费对经济发展的基础性作用。</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（二）实施目的及支持方向。</w:t>
      </w:r>
      <w:r>
        <w:rPr>
          <w:rFonts w:hint="default" w:ascii="Times New Roman" w:hAnsi="Times New Roman" w:eastAsia="仿宋_GB2312" w:cs="Times New Roman"/>
          <w:sz w:val="32"/>
          <w:szCs w:val="32"/>
        </w:rPr>
        <w:t>建立了《攀枝花市商务局财务管理制度》，严肃财经纪律，严格执行财务管理制度，强化财务监督，严格按照预算规定规范项目资金支出，财务处理及时，会计核算规范。为确保项目实施，围绕进一步恢复和扩大消费，开展主题促销活动、发放消费券，刺激消费，活跃市场，通过发放消费券、满减满赠、实折实扣等优惠举措，聚焦商贸流通领域，优化消费供给，增长消费动能。</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（三）预算安排及分配管理。</w:t>
      </w:r>
      <w:r>
        <w:rPr>
          <w:rFonts w:hint="default" w:ascii="Times New Roman" w:hAnsi="Times New Roman" w:eastAsia="仿宋_GB2312" w:cs="Times New Roman"/>
          <w:sz w:val="32"/>
          <w:szCs w:val="32"/>
        </w:rPr>
        <w:t>截至2023年6月底，攀枝花市促消费资金409.90万元全部到位。根据《四川省财政厅 四川省商务厅关于下达2022年省级商务发展促进资金预算的通知》（川财建〔2022〕322号）内容，2023年1月16日，我局会同市财政局报送了《关于使用省级商务发展促进资金的请示》（攀商〔2023〕3号），申请使用第三批省级商务发展促进消费资金91万元开展消费券发放工作。1月17日，市政府同意拨付。二是《四川省商务厅四川省财政厅关于印发&lt;进一步恢复和扩大消费若干政策&gt;》（川商函〔2023〕12号）要求，2023年2月2日，我局会同市财政局报送了《关于审定&lt;攀枝花市进一步恢复和扩大消费若干政策的实施细则（送审稿）&gt;的请示》（攀商〔2023〕8号）,《实施细则》明确省级下达的151万元和市级配套117.90万元用于促进全市消费恢复发展（含2023欢乐元宵节活动经费直接拨付东区政府）。2月10日， 市政府同意。三是根据《四川省商务厅关于组织发放第二届中国（四川）国际熊猫消费节“蜀里安逸”消费券的通知》（川商市运〔2023〕10号）要求，2023年8月24日，我局会同市财政局报送了《关于安排第二届中国（四川）国际熊猫消费节“蜀里安逸”消费券所需资金的请示》（攀商〔2023〕59号），申请财政资金100万元用于省级统筹发放“蜀里安逸”消费券，9月10日，市政府同意拨付。所有项目申报与具体实施内容相符，申报目标合理可行。</w:t>
      </w:r>
    </w:p>
    <w:p>
      <w:pPr>
        <w:adjustRightInd w:val="0"/>
        <w:snapToGrid w:val="0"/>
        <w:spacing w:line="560" w:lineRule="exact"/>
        <w:ind w:firstLine="720"/>
        <w:rPr>
          <w:rFonts w:hint="default" w:ascii="Times New Roman" w:hAnsi="Times New Roman" w:eastAsia="仿宋_GB2312" w:cs="Times New Roman"/>
          <w:b/>
          <w:bCs/>
          <w:szCs w:val="21"/>
        </w:rPr>
      </w:pPr>
      <w:r>
        <w:rPr>
          <w:rFonts w:hint="default" w:ascii="Times New Roman" w:hAnsi="Times New Roman" w:eastAsia="楷体_GB2312" w:cs="Times New Roman"/>
          <w:b/>
          <w:bCs/>
          <w:sz w:val="32"/>
          <w:szCs w:val="32"/>
        </w:rPr>
        <w:t>（四）项目绩效目标设置。</w:t>
      </w:r>
      <w:r>
        <w:rPr>
          <w:rFonts w:hint="default" w:ascii="Times New Roman" w:hAnsi="Times New Roman" w:eastAsia="仿宋_GB2312" w:cs="Times New Roman"/>
          <w:sz w:val="32"/>
          <w:szCs w:val="32"/>
        </w:rPr>
        <w:t>2023年，全市社消零实现增长。群众满意度较好</w:t>
      </w:r>
      <w:r>
        <w:rPr>
          <w:rFonts w:hint="default" w:ascii="Times New Roman" w:hAnsi="Times New Roman" w:eastAsia="仿宋_GB2312" w:cs="Times New Roman"/>
        </w:rPr>
        <w:t>。</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二、评价实施</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（一）评价目的。</w:t>
      </w:r>
      <w:r>
        <w:rPr>
          <w:rFonts w:hint="default" w:ascii="Times New Roman" w:hAnsi="Times New Roman" w:eastAsia="仿宋_GB2312" w:cs="Times New Roman"/>
          <w:sz w:val="32"/>
          <w:szCs w:val="32"/>
        </w:rPr>
        <w:t>项目资金支出规范，财务处理及时，会计核算规范，项目绩效目标明显。</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（二）预设问题及评价重点。</w:t>
      </w:r>
      <w:r>
        <w:rPr>
          <w:rFonts w:hint="default" w:ascii="Times New Roman" w:hAnsi="Times New Roman" w:eastAsia="仿宋_GB2312" w:cs="Times New Roman"/>
          <w:sz w:val="32"/>
          <w:szCs w:val="32"/>
        </w:rPr>
        <w:t>按照绩效评价指标体系，对资金支出使用全过程及其实施效果综合评价良好。</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（三）评价选点。</w:t>
      </w:r>
      <w:r>
        <w:rPr>
          <w:rFonts w:hint="default" w:ascii="Times New Roman" w:hAnsi="Times New Roman" w:eastAsia="仿宋_GB2312" w:cs="Times New Roman"/>
          <w:sz w:val="32"/>
          <w:szCs w:val="32"/>
        </w:rPr>
        <w:t>消费劵发放平台。</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（四）评价方法。</w:t>
      </w:r>
      <w:r>
        <w:rPr>
          <w:rFonts w:hint="default" w:ascii="Times New Roman" w:hAnsi="Times New Roman" w:eastAsia="仿宋_GB2312" w:cs="Times New Roman"/>
          <w:sz w:val="32"/>
          <w:szCs w:val="32"/>
        </w:rPr>
        <w:t>单位自评法。</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（五）评价组织。</w:t>
      </w:r>
      <w:r>
        <w:rPr>
          <w:rFonts w:hint="default" w:ascii="Times New Roman" w:hAnsi="Times New Roman" w:eastAsia="仿宋_GB2312" w:cs="Times New Roman"/>
          <w:sz w:val="32"/>
          <w:szCs w:val="32"/>
        </w:rPr>
        <w:t>市商务局、市财政局、人行攀枝花市分行共同加强消费券资金监管。</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三、绩效分析</w:t>
      </w:r>
    </w:p>
    <w:p>
      <w:pPr>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（一）通用指标绩效分析。</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1.项目决策。</w:t>
      </w:r>
      <w:r>
        <w:rPr>
          <w:rFonts w:hint="default" w:ascii="Times New Roman" w:hAnsi="Times New Roman" w:eastAsia="仿宋_GB2312" w:cs="Times New Roman"/>
          <w:sz w:val="32"/>
          <w:szCs w:val="32"/>
        </w:rPr>
        <w:t>决策程序符合相关规定，资金投向准确。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2.项目管理。</w:t>
      </w:r>
      <w:r>
        <w:rPr>
          <w:rFonts w:hint="default" w:ascii="Times New Roman" w:hAnsi="Times New Roman" w:eastAsia="仿宋_GB2312" w:cs="Times New Roman"/>
          <w:sz w:val="32"/>
          <w:szCs w:val="32"/>
        </w:rPr>
        <w:t>制度办法有效，资金分配合理，绩效监管有效。</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3.项目实施。</w:t>
      </w:r>
      <w:r>
        <w:rPr>
          <w:rFonts w:hint="default" w:ascii="Times New Roman" w:hAnsi="Times New Roman" w:eastAsia="仿宋_GB2312" w:cs="Times New Roman"/>
          <w:sz w:val="32"/>
          <w:szCs w:val="32"/>
        </w:rPr>
        <w:t>我局牵头印发了《攀枝花市服务业发展领导小组办公室关于组织开展2023全国金秋购物节暨第二届中国（四川）国际熊猫消费节攀枝花分会场活动的通知》。通过云闪付APP滚动发放309.90万元消费券，全市范围内商贸流通企业推出各类促销活动与消费券叠加，刺激拉动消费。商务厅按照出资比例配套25万元共计125万元通过美团平台发放消费券。</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4.项目结果。</w:t>
      </w:r>
      <w:r>
        <w:rPr>
          <w:rFonts w:hint="default" w:ascii="Times New Roman" w:hAnsi="Times New Roman" w:eastAsia="仿宋_GB2312" w:cs="Times New Roman"/>
          <w:sz w:val="32"/>
          <w:szCs w:val="32"/>
        </w:rPr>
        <w:t>2023年，全市社消零实现315.86亿元，同比增长10.5%，在全省排名第9位。群众满意度较好</w:t>
      </w:r>
      <w:r>
        <w:rPr>
          <w:rFonts w:hint="default" w:ascii="Times New Roman" w:hAnsi="Times New Roman" w:eastAsia="仿宋_GB2312" w:cs="Times New Roman"/>
        </w:rPr>
        <w:t>。</w:t>
      </w:r>
      <w:r>
        <w:rPr>
          <w:rFonts w:hint="default" w:ascii="Times New Roman" w:hAnsi="Times New Roman" w:eastAsia="仿宋_GB2312" w:cs="Times New Roman"/>
          <w:sz w:val="32"/>
          <w:szCs w:val="32"/>
        </w:rPr>
        <w:t>目标完成情况良好，按时完成绩效目标。</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（二）专用指标绩效分析。</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1.产业发展。</w:t>
      </w:r>
      <w:r>
        <w:rPr>
          <w:rFonts w:hint="default" w:ascii="Times New Roman" w:hAnsi="Times New Roman" w:eastAsia="仿宋_GB2312" w:cs="Times New Roman"/>
          <w:sz w:val="32"/>
          <w:szCs w:val="32"/>
        </w:rPr>
        <w:t>政企联动形成合力。组织各大商超、车企、餐饮流通等商贸流通企业发挥叠加效应。促进服务业发展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2.民生保障。</w:t>
      </w:r>
      <w:r>
        <w:rPr>
          <w:rFonts w:hint="default" w:ascii="Times New Roman" w:hAnsi="Times New Roman" w:eastAsia="仿宋_GB2312" w:cs="Times New Roman"/>
          <w:sz w:val="32"/>
          <w:szCs w:val="32"/>
        </w:rPr>
        <w:t>群众满意度高。</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3.基础设施。</w:t>
      </w:r>
      <w:r>
        <w:rPr>
          <w:rFonts w:hint="default" w:ascii="Times New Roman" w:hAnsi="Times New Roman" w:eastAsia="仿宋_GB2312" w:cs="Times New Roman"/>
          <w:sz w:val="32"/>
          <w:szCs w:val="32"/>
        </w:rPr>
        <w:t>无基础设施。</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4.行政运转。</w:t>
      </w:r>
      <w:r>
        <w:rPr>
          <w:rFonts w:hint="default" w:ascii="Times New Roman" w:hAnsi="Times New Roman" w:eastAsia="仿宋_GB2312" w:cs="Times New Roman"/>
          <w:sz w:val="32"/>
          <w:szCs w:val="32"/>
        </w:rPr>
        <w:t>用途、程序、标准合规性。</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（三）个性指标绩效分析。</w:t>
      </w:r>
      <w:r>
        <w:rPr>
          <w:rFonts w:hint="default" w:ascii="Times New Roman" w:hAnsi="Times New Roman" w:eastAsia="仿宋_GB2312" w:cs="Times New Roman"/>
          <w:sz w:val="32"/>
          <w:szCs w:val="32"/>
        </w:rPr>
        <w:t>无。</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四、评价结论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促消费专项资金总体评价良好，项目实施有成效。</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五、存在主要问题</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六、改进建议</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widowControl/>
        <w:jc w:val="left"/>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中老班列常态化开行费用绩效评价报告</w:t>
      </w:r>
    </w:p>
    <w:p>
      <w:pPr>
        <w:rPr>
          <w:rFonts w:hint="default" w:ascii="Times New Roman" w:hAnsi="Times New Roman" w:eastAsia="仿宋_GB2312" w:cs="Times New Roman"/>
          <w:sz w:val="32"/>
          <w:szCs w:val="32"/>
          <w:lang w:val="zh-CN"/>
        </w:rPr>
      </w:pPr>
    </w:p>
    <w:p>
      <w:pPr>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一、项目概况</w:t>
      </w:r>
    </w:p>
    <w:p>
      <w:pPr>
        <w:ind w:firstLine="642" w:firstLineChars="200"/>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lang w:val="zh-CN"/>
        </w:rPr>
        <w:t>（一）设立背景及基本情况。</w:t>
      </w:r>
      <w:r>
        <w:rPr>
          <w:rFonts w:hint="default" w:ascii="Times New Roman" w:hAnsi="Times New Roman" w:eastAsia="仿宋_GB2312" w:cs="Times New Roman"/>
          <w:sz w:val="32"/>
          <w:szCs w:val="32"/>
        </w:rPr>
        <w:t>为认真贯彻落实省委、省政府支持攀枝花“抢抓中老国际铁路通车战略机遇，建设‘川货出川’南向新通道，打造四川南向开放门户”工作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经市委、市政府研究，决定开行中老班列（攀枝花）。根据</w:t>
      </w:r>
      <w:r>
        <w:rPr>
          <w:rFonts w:hint="default" w:ascii="Times New Roman" w:hAnsi="Times New Roman" w:eastAsia="仿宋_GB2312" w:cs="Times New Roman"/>
          <w:kern w:val="0"/>
          <w:sz w:val="32"/>
          <w:szCs w:val="32"/>
        </w:rPr>
        <w:t>《攀枝花市商务局关于常态化开行中老班列</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攀枝花</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有关工作的请示》（攀商〔</w:t>
      </w:r>
      <w:r>
        <w:rPr>
          <w:rFonts w:hint="default" w:ascii="Times New Roman" w:hAnsi="Times New Roman" w:eastAsia="仿宋_GB2312" w:cs="Times New Roman"/>
          <w:kern w:val="0"/>
          <w:sz w:val="32"/>
          <w:szCs w:val="32"/>
        </w:rPr>
        <w:t>2023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45</w:t>
      </w:r>
      <w:r>
        <w:rPr>
          <w:rFonts w:hint="default" w:ascii="Times New Roman" w:hAnsi="Times New Roman" w:eastAsia="仿宋_GB2312" w:cs="Times New Roman"/>
          <w:kern w:val="0"/>
          <w:sz w:val="32"/>
          <w:szCs w:val="32"/>
        </w:rPr>
        <w:t>号）及市领导批示，市商务局按照</w:t>
      </w:r>
      <w:r>
        <w:rPr>
          <w:rFonts w:hint="default" w:ascii="Times New Roman" w:hAnsi="Times New Roman" w:eastAsia="仿宋_GB2312" w:cs="Times New Roman"/>
          <w:sz w:val="32"/>
        </w:rPr>
        <w:t>“全力以赴确保攀枝花中老班列走在前列”开行目标，推进中老班列（攀枝花）高效开行</w:t>
      </w:r>
      <w:r>
        <w:rPr>
          <w:rFonts w:hint="default" w:ascii="Times New Roman" w:hAnsi="Times New Roman" w:eastAsia="仿宋_GB2312" w:cs="Times New Roman"/>
          <w:kern w:val="0"/>
          <w:sz w:val="32"/>
          <w:szCs w:val="32"/>
        </w:rPr>
        <w:t>。</w:t>
      </w:r>
    </w:p>
    <w:p>
      <w:pPr>
        <w:ind w:firstLine="642"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（二）实施目的及支持方向。</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000000"/>
          <w:kern w:val="0"/>
          <w:sz w:val="32"/>
          <w:szCs w:val="32"/>
        </w:rPr>
        <w:t>加快建设四川南向开放门户，打通并维持面向东南亚、南亚战略通道的政治需要；是驱动攀枝花贸易结构转型升级，加快攀枝花国际铁路物流港、生产服务型国家物流枢纽承载城市建设，逐步实现“贸易物流一体化”发展的现实需要；是抢占周边更多物流市场份额，扩大攀枝花物流辐射范围，提升区域辐射能力和竞争力，打造区域经济中心的发展需要；是抢占班列资源、投资班列资源，做实攀枝花物流枢纽和集散中心功能的战略需要。市商务局</w:t>
      </w:r>
      <w:r>
        <w:rPr>
          <w:rFonts w:hint="default" w:ascii="Times New Roman" w:hAnsi="Times New Roman" w:eastAsia="仿宋_GB2312" w:cs="Times New Roman"/>
          <w:color w:val="000000"/>
          <w:sz w:val="32"/>
          <w:szCs w:val="32"/>
        </w:rPr>
        <w:t>会同市财政局制定《中老班列（攀枝花）货运物流补助资金管理办法（试行）》，确定专项资金对中老班列（攀枝花）货运物流进行支持，明确了项目申报要求及工作流程。</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（三）预算安排及分配管理。</w:t>
      </w:r>
      <w:r>
        <w:rPr>
          <w:rFonts w:hint="default" w:ascii="Times New Roman" w:hAnsi="Times New Roman" w:eastAsia="仿宋_GB2312" w:cs="Times New Roman"/>
          <w:sz w:val="32"/>
          <w:szCs w:val="32"/>
          <w:lang w:val="zh-CN"/>
        </w:rPr>
        <w:t>项目全年预算安排</w:t>
      </w:r>
      <w:r>
        <w:rPr>
          <w:rFonts w:hint="default" w:ascii="Times New Roman" w:hAnsi="Times New Roman" w:eastAsia="仿宋_GB2312" w:cs="Times New Roman"/>
          <w:sz w:val="32"/>
          <w:szCs w:val="32"/>
        </w:rPr>
        <w:t>500万元</w:t>
      </w:r>
      <w:r>
        <w:rPr>
          <w:rFonts w:hint="default" w:ascii="Times New Roman" w:hAnsi="Times New Roman" w:eastAsia="仿宋_GB2312" w:cs="Times New Roman"/>
          <w:sz w:val="32"/>
          <w:szCs w:val="32"/>
          <w:lang w:val="zh-CN"/>
        </w:rPr>
        <w:t>，依照相关政策导向和具体绩效目标等，结合我市中老班列开行实际，充分发挥中老铁路国际大通道优势，加速推动攀枝花商贸流通高质量发展和产业结构优化，助力中老铁路货运增量提质，助力更多企业通过中老班列“走出去”抢订单、拓市场，增强外贸企业高质量发展水平。重点对企业通过中老班列（攀枝花）进出口货物的铁路物流进行支持。市商务局、市财政局视具体开行情况进行统筹安排。</w:t>
      </w:r>
    </w:p>
    <w:p>
      <w:pPr>
        <w:ind w:firstLine="642"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（四）项目绩效目标设置。</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1.</w:t>
      </w:r>
      <w:r>
        <w:rPr>
          <w:rFonts w:hint="default" w:ascii="Times New Roman" w:hAnsi="Times New Roman" w:eastAsia="仿宋_GB2312" w:cs="Times New Roman"/>
          <w:sz w:val="32"/>
          <w:szCs w:val="32"/>
          <w:lang w:val="zh-CN"/>
        </w:rPr>
        <w:t>项目整体、区域和具体绩效目标设置情况。</w:t>
      </w:r>
    </w:p>
    <w:tbl>
      <w:tblPr>
        <w:tblStyle w:val="16"/>
        <w:tblW w:w="8743"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8"/>
        <w:gridCol w:w="1110"/>
        <w:gridCol w:w="2185"/>
        <w:gridCol w:w="3035"/>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28" w:type="dxa"/>
            <w:vMerge w:val="restart"/>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绩</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效</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指</w:t>
            </w:r>
            <w:r>
              <w:rPr>
                <w:rFonts w:hint="default" w:ascii="Times New Roman" w:hAnsi="Times New Roman" w:eastAsia="仿宋_GB2312" w:cs="Times New Roman"/>
                <w:color w:val="000000"/>
                <w:kern w:val="0"/>
                <w:sz w:val="28"/>
                <w:szCs w:val="28"/>
              </w:rPr>
              <w:br w:type="textWrapping"/>
            </w:r>
            <w:r>
              <w:rPr>
                <w:rFonts w:hint="default" w:ascii="Times New Roman" w:hAnsi="Times New Roman" w:eastAsia="仿宋_GB2312" w:cs="Times New Roman"/>
                <w:color w:val="000000"/>
                <w:kern w:val="0"/>
                <w:sz w:val="28"/>
                <w:szCs w:val="28"/>
              </w:rPr>
              <w:t>标</w:t>
            </w:r>
          </w:p>
        </w:tc>
        <w:tc>
          <w:tcPr>
            <w:tcW w:w="1110"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一级</w:t>
            </w:r>
          </w:p>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指标</w:t>
            </w: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二级指标</w:t>
            </w:r>
          </w:p>
        </w:tc>
        <w:tc>
          <w:tcPr>
            <w:tcW w:w="303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三级指标</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年度设定</w:t>
            </w:r>
          </w:p>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vMerge w:val="restart"/>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产出</w:t>
            </w:r>
          </w:p>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指标</w:t>
            </w: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数量指标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常态化开行中老班列（攀枝花）</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w:t>
            </w:r>
            <w:r>
              <w:rPr>
                <w:rFonts w:hint="default" w:ascii="Times New Roman" w:hAnsi="Times New Roman" w:eastAsia="仿宋_GB2312" w:cs="Times New Roman"/>
                <w:color w:val="000000"/>
                <w:kern w:val="0"/>
                <w:sz w:val="28"/>
                <w:szCs w:val="28"/>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vMerge w:val="continue"/>
            <w:tcBorders>
              <w:tl2br w:val="nil"/>
              <w:tr2bl w:val="nil"/>
            </w:tcBorders>
            <w:shd w:val="clear" w:color="auto" w:fill="auto"/>
            <w:vAlign w:val="center"/>
          </w:tcPr>
          <w:p>
            <w:pPr>
              <w:rPr>
                <w:rFonts w:hint="default" w:ascii="Times New Roman" w:hAnsi="Times New Roman" w:cs="Times New Roman"/>
              </w:rPr>
            </w:pP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质量指标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高质量完成年度工作</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vMerge w:val="continue"/>
            <w:tcBorders>
              <w:tl2br w:val="nil"/>
              <w:tr2bl w:val="nil"/>
            </w:tcBorders>
            <w:shd w:val="clear" w:color="auto" w:fill="auto"/>
            <w:vAlign w:val="center"/>
          </w:tcPr>
          <w:p>
            <w:pPr>
              <w:rPr>
                <w:rFonts w:hint="default" w:ascii="Times New Roman" w:hAnsi="Times New Roman" w:cs="Times New Roman"/>
              </w:rPr>
            </w:pP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时效指标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完成时间</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本年度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成本</w:t>
            </w:r>
          </w:p>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指标</w:t>
            </w: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经济成本指标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成本控制</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w:t>
            </w:r>
            <w:r>
              <w:rPr>
                <w:rFonts w:hint="default" w:ascii="Times New Roman" w:hAnsi="Times New Roman" w:eastAsia="仿宋_GB2312" w:cs="Times New Roman"/>
                <w:color w:val="000000"/>
                <w:kern w:val="0"/>
                <w:sz w:val="28"/>
                <w:szCs w:val="28"/>
              </w:rPr>
              <w:t>8</w:t>
            </w:r>
            <w:r>
              <w:rPr>
                <w:rFonts w:hint="default" w:ascii="Times New Roman" w:hAnsi="Times New Roman" w:eastAsia="仿宋_GB2312" w:cs="Times New Roman"/>
                <w:color w:val="000000"/>
                <w:kern w:val="0"/>
                <w:sz w:val="28"/>
                <w:szCs w:val="28"/>
              </w:rPr>
              <w:t>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vMerge w:val="restart"/>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效益</w:t>
            </w:r>
          </w:p>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指标</w:t>
            </w: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经济效益指标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经</w:t>
            </w:r>
            <w:r>
              <w:rPr>
                <w:rFonts w:hint="default" w:ascii="Times New Roman" w:hAnsi="Times New Roman" w:eastAsia="仿宋_GB2312" w:cs="Times New Roman"/>
                <w:color w:val="000000"/>
                <w:kern w:val="0"/>
                <w:sz w:val="28"/>
                <w:szCs w:val="28"/>
              </w:rPr>
              <w:t>中老班列（攀枝花）进出口</w:t>
            </w:r>
            <w:r>
              <w:rPr>
                <w:rFonts w:hint="default" w:ascii="Times New Roman" w:hAnsi="Times New Roman" w:eastAsia="仿宋_GB2312" w:cs="Times New Roman"/>
                <w:color w:val="000000"/>
                <w:kern w:val="0"/>
                <w:sz w:val="28"/>
                <w:szCs w:val="28"/>
              </w:rPr>
              <w:t>货物货值增速</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w:t>
            </w:r>
            <w:r>
              <w:rPr>
                <w:rFonts w:hint="default" w:ascii="Times New Roman" w:hAnsi="Times New Roman" w:eastAsia="仿宋_GB2312" w:cs="Times New Roman"/>
                <w:color w:val="000000"/>
                <w:kern w:val="0"/>
                <w:sz w:val="28"/>
                <w:szCs w:val="28"/>
              </w:rPr>
              <w:t>60</w:t>
            </w:r>
            <w:r>
              <w:rPr>
                <w:rFonts w:hint="default" w:ascii="Times New Roman" w:hAnsi="Times New Roman" w:eastAsia="仿宋_GB2312" w:cs="Times New Roman"/>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vMerge w:val="continue"/>
            <w:tcBorders>
              <w:tl2br w:val="nil"/>
              <w:tr2bl w:val="nil"/>
            </w:tcBorders>
            <w:shd w:val="clear" w:color="auto" w:fill="auto"/>
            <w:vAlign w:val="center"/>
          </w:tcPr>
          <w:p>
            <w:pPr>
              <w:rPr>
                <w:rFonts w:hint="default" w:ascii="Times New Roman" w:hAnsi="Times New Roman" w:cs="Times New Roman"/>
              </w:rPr>
            </w:pP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社会效益指标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物流基础设施品质提升</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vMerge w:val="continue"/>
            <w:tcBorders>
              <w:tl2br w:val="nil"/>
              <w:tr2bl w:val="nil"/>
            </w:tcBorders>
            <w:shd w:val="clear" w:color="auto" w:fill="auto"/>
            <w:vAlign w:val="center"/>
          </w:tcPr>
          <w:p>
            <w:pPr>
              <w:rPr>
                <w:rFonts w:hint="default" w:ascii="Times New Roman" w:hAnsi="Times New Roman" w:cs="Times New Roman"/>
              </w:rPr>
            </w:pP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可持续影响指标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提升攀枝花国家物流枢纽影响力</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28" w:type="dxa"/>
            <w:vMerge w:val="continue"/>
            <w:tcBorders>
              <w:tl2br w:val="nil"/>
              <w:tr2bl w:val="nil"/>
            </w:tcBorders>
            <w:shd w:val="clear" w:color="auto" w:fill="auto"/>
            <w:vAlign w:val="center"/>
          </w:tcPr>
          <w:p>
            <w:pPr>
              <w:rPr>
                <w:rFonts w:hint="default" w:ascii="Times New Roman" w:hAnsi="Times New Roman" w:cs="Times New Roman"/>
              </w:rPr>
            </w:pPr>
          </w:p>
        </w:tc>
        <w:tc>
          <w:tcPr>
            <w:tcW w:w="1110"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满意度指标</w:t>
            </w:r>
          </w:p>
        </w:tc>
        <w:tc>
          <w:tcPr>
            <w:tcW w:w="21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满意度指标</w:t>
            </w:r>
          </w:p>
        </w:tc>
        <w:tc>
          <w:tcPr>
            <w:tcW w:w="3035" w:type="dxa"/>
            <w:tcBorders>
              <w:tl2br w:val="nil"/>
              <w:tr2bl w:val="nil"/>
            </w:tcBorders>
            <w:shd w:val="clear" w:color="auto" w:fill="auto"/>
            <w:vAlign w:val="center"/>
          </w:tcPr>
          <w:p>
            <w:pPr>
              <w:widowControl/>
              <w:spacing w:line="40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满意度</w:t>
            </w:r>
          </w:p>
        </w:tc>
        <w:tc>
          <w:tcPr>
            <w:tcW w:w="1785" w:type="dxa"/>
            <w:tcBorders>
              <w:tl2br w:val="nil"/>
              <w:tr2bl w:val="nil"/>
            </w:tcBorders>
            <w:shd w:val="clear" w:color="auto" w:fill="auto"/>
            <w:vAlign w:val="center"/>
          </w:tcPr>
          <w:p>
            <w:pPr>
              <w:widowControl/>
              <w:spacing w:line="40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rPr>
              <w:t>≥80%</w:t>
            </w:r>
          </w:p>
        </w:tc>
      </w:tr>
    </w:tbl>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项目总体目标是支持中小企业公共服务体系建设和提升发展能力。资金申报时按要求进行了资金测算，开展了事前绩效评估，设置了绩效目标表，资金支付完成后，开展项目自评工作，项目绩效目标设置合理，项目设立符合资金管理基本规范和决策程序要求。市商务局、市财政局会同运营单位对中老班列（攀枝花）开行情况进行运行分析，强化资金使用绩效。</w:t>
      </w:r>
    </w:p>
    <w:p>
      <w:pPr>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二、评价实施</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（一）评价目的。</w:t>
      </w:r>
      <w:r>
        <w:rPr>
          <w:rFonts w:hint="default" w:ascii="Times New Roman" w:hAnsi="Times New Roman" w:eastAsia="仿宋_GB2312" w:cs="Times New Roman"/>
          <w:sz w:val="32"/>
          <w:szCs w:val="32"/>
          <w:lang w:val="zh-CN"/>
        </w:rPr>
        <w:t>及时掌握资金使用工作进度情况，持续提升中老班列（攀枝花）开行能力，加强对专项资金使用情况的日常监督和检查，做好绩效评价。</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（二）预设问题及评价重点。</w:t>
      </w:r>
      <w:r>
        <w:rPr>
          <w:rFonts w:hint="default" w:ascii="Times New Roman" w:hAnsi="Times New Roman" w:eastAsia="仿宋_GB2312" w:cs="Times New Roman"/>
          <w:sz w:val="32"/>
          <w:szCs w:val="32"/>
          <w:lang w:val="zh-CN"/>
        </w:rPr>
        <w:t>项目资金使用、拨付符合国家财经法规、财务管理制度及有关专项资金管理办法规定和审批程序，不存在超范围、超标准、超进度使用专项资金，不存在资金损失浪费、长期沉淀、截留、挤占、挪用、虚列支出等情况，项目实施遵守相关法律法规。</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（三）评价选点。</w:t>
      </w:r>
      <w:r>
        <w:rPr>
          <w:rFonts w:hint="default" w:ascii="Times New Roman" w:hAnsi="Times New Roman" w:eastAsia="仿宋_GB2312" w:cs="Times New Roman"/>
          <w:sz w:val="32"/>
          <w:szCs w:val="32"/>
          <w:lang w:val="zh-CN"/>
        </w:rPr>
        <w:t>中老班列（攀枝花）开行及资金兑付情况。</w:t>
      </w:r>
    </w:p>
    <w:p>
      <w:pPr>
        <w:ind w:firstLine="642" w:firstLineChars="200"/>
        <w:rPr>
          <w:rFonts w:hint="default" w:ascii="Times New Roman" w:hAnsi="Times New Roman" w:cs="Times New Roman"/>
          <w:lang w:val="zh-CN"/>
        </w:rPr>
      </w:pPr>
      <w:r>
        <w:rPr>
          <w:rFonts w:hint="default" w:ascii="Times New Roman" w:hAnsi="Times New Roman" w:eastAsia="楷体_GB2312" w:cs="Times New Roman"/>
          <w:b/>
          <w:sz w:val="32"/>
          <w:szCs w:val="32"/>
          <w:lang w:val="zh-CN"/>
        </w:rPr>
        <w:t>（四）评价方法。</w:t>
      </w:r>
      <w:r>
        <w:rPr>
          <w:rFonts w:hint="default" w:ascii="Times New Roman" w:hAnsi="Times New Roman" w:eastAsia="仿宋_GB2312" w:cs="Times New Roman"/>
          <w:sz w:val="32"/>
          <w:szCs w:val="32"/>
          <w:lang w:val="zh-CN"/>
        </w:rPr>
        <w:t>单位自评法。</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（五）评价组织。</w:t>
      </w:r>
      <w:r>
        <w:rPr>
          <w:rFonts w:hint="default" w:ascii="Times New Roman" w:hAnsi="Times New Roman" w:eastAsia="仿宋_GB2312" w:cs="Times New Roman"/>
          <w:sz w:val="32"/>
          <w:szCs w:val="32"/>
          <w:lang w:val="zh-CN"/>
        </w:rPr>
        <w:t>组织相关科室负责人按照中老班列（攀枝花）开行情况及资金兑付情况进行评价。</w:t>
      </w:r>
    </w:p>
    <w:p>
      <w:pPr>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三、绩效分析</w:t>
      </w:r>
    </w:p>
    <w:p>
      <w:pPr>
        <w:ind w:firstLine="642"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（一）通用指标绩效分析。</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1.项目决策。</w:t>
      </w:r>
      <w:r>
        <w:rPr>
          <w:rFonts w:hint="default" w:ascii="Times New Roman" w:hAnsi="Times New Roman" w:eastAsia="仿宋_GB2312" w:cs="Times New Roman"/>
          <w:sz w:val="32"/>
          <w:szCs w:val="32"/>
          <w:lang w:val="zh-CN"/>
        </w:rPr>
        <w:t>项目设立符合资金管理基本规范和决策程序要求，项目规划论证符合上级政策要求，项目绩效目标设置科学合理，项目资金与项目总体规划、行业发展相匹配，聚焦重大任务、重点领域、重点环节和重点项目。</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2.项目管理。</w:t>
      </w:r>
      <w:r>
        <w:rPr>
          <w:rFonts w:hint="default" w:ascii="Times New Roman" w:hAnsi="Times New Roman" w:eastAsia="仿宋_GB2312" w:cs="Times New Roman"/>
          <w:sz w:val="32"/>
          <w:szCs w:val="32"/>
          <w:lang w:val="zh-CN"/>
        </w:rPr>
        <w:t>资金管理办法等管理制度体系健全完善，不存在管理制度缺失、管理办法过期情况，资金分配因素选取充分考虑工作实际需求，资金分配因素的权重设置有效突出项目实施重点，资金区域分布结果公平合理，明确了项目申报审核程序，按规定程序履行项目审批，资金分配依据充分合理。资金分配严格按管理办法执行，决策程序符合管理要求，及时高效。</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3.项目实施。</w:t>
      </w:r>
      <w:r>
        <w:rPr>
          <w:rFonts w:hint="default" w:ascii="Times New Roman" w:hAnsi="Times New Roman" w:eastAsia="仿宋_GB2312" w:cs="Times New Roman"/>
          <w:sz w:val="32"/>
          <w:szCs w:val="32"/>
          <w:lang w:val="zh-CN"/>
        </w:rPr>
        <w:t>项目资金按照财政拨付，单位执行情况执行。项目资金使用、拨付符合国家财经法规、财务管理制度及有关专项资金管理制度办法规定和审批程序，不存在超范围、超标准、超进度使用专项资金，不存在资金损失浪费、长期沉淀、截留、挤占、挪用、虚列支出等情况，项目实施遵守相关法律法规。</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4.项目结果。</w:t>
      </w:r>
      <w:r>
        <w:rPr>
          <w:rFonts w:hint="default" w:ascii="Times New Roman" w:hAnsi="Times New Roman" w:eastAsia="仿宋_GB2312" w:cs="Times New Roman"/>
          <w:sz w:val="32"/>
          <w:szCs w:val="32"/>
          <w:lang w:val="zh-CN"/>
        </w:rPr>
        <w:t>项目完成预期目标，实施结果与绩效目标相匹配，项目实际完成时间与计划完成时间相符合。</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（二）专用指标绩效分析。</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从</w:t>
      </w:r>
      <w:r>
        <w:rPr>
          <w:rFonts w:hint="default" w:ascii="Times New Roman" w:hAnsi="Times New Roman" w:eastAsia="仿宋_GB2312" w:cs="Times New Roman"/>
          <w:sz w:val="32"/>
          <w:szCs w:val="32"/>
        </w:rPr>
        <w:t>产业发展方面分析。项目的用途、程序和标准都合规。资金保障了</w:t>
      </w:r>
      <w:r>
        <w:rPr>
          <w:rFonts w:hint="default" w:ascii="Times New Roman" w:hAnsi="Times New Roman" w:eastAsia="仿宋_GB2312" w:cs="Times New Roman"/>
          <w:sz w:val="32"/>
          <w:szCs w:val="32"/>
        </w:rPr>
        <w:t>中老班列（攀枝花）的正常开行，确保了开行</w:t>
      </w:r>
      <w:r>
        <w:rPr>
          <w:rFonts w:hint="default" w:ascii="Times New Roman" w:hAnsi="Times New Roman" w:eastAsia="仿宋_GB2312" w:cs="Times New Roman"/>
          <w:sz w:val="32"/>
          <w:szCs w:val="32"/>
        </w:rPr>
        <w:t>工作的顺利</w:t>
      </w:r>
      <w:r>
        <w:rPr>
          <w:rFonts w:hint="default" w:ascii="Times New Roman" w:hAnsi="Times New Roman" w:eastAsia="仿宋_GB2312" w:cs="Times New Roman"/>
          <w:sz w:val="32"/>
          <w:szCs w:val="32"/>
        </w:rPr>
        <w:t>实施，提升了中老班列（攀枝花）影响力。</w:t>
      </w:r>
    </w:p>
    <w:p>
      <w:pPr>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（三）个性指标绩效分析。</w:t>
      </w:r>
      <w:r>
        <w:rPr>
          <w:rFonts w:hint="default" w:ascii="Times New Roman" w:hAnsi="Times New Roman" w:eastAsia="仿宋_GB2312" w:cs="Times New Roman"/>
          <w:sz w:val="32"/>
          <w:szCs w:val="32"/>
          <w:lang w:val="zh-CN"/>
        </w:rPr>
        <w:t>接受补贴相关企业满意度指标，通过走访企业了解，企业满意度达95%以上。</w:t>
      </w:r>
    </w:p>
    <w:p>
      <w:pPr>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四、评价结论</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专项资金支持我市中老班列（攀枝花）常态化开行，提高企业开行国际班列的积极性，同时通过中老班列开行畅通道聚产业，积极推动物流贸易一体化发展，建设铁矿石等大宗商品特色进口单品集散中心，推动相关产业延链、补链、强链，形成供应链产业优势。</w:t>
      </w:r>
    </w:p>
    <w:p>
      <w:pPr>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五、存在主要问题</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中老班列（攀枝花）开行运费需承运企业自行垫资，开行费用补贴申请时间过长无法及时到位。</w:t>
      </w:r>
    </w:p>
    <w:p>
      <w:pPr>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六、改进建议</w:t>
      </w:r>
    </w:p>
    <w:p>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建议精简拨付流程，及时下达开行补贴费用。</w:t>
      </w:r>
    </w:p>
    <w:p>
      <w:pPr>
        <w:pStyle w:val="2"/>
        <w:rPr>
          <w:rFonts w:hint="default" w:ascii="Times New Roman" w:hAnsi="Times New Roman" w:cs="Times New Roman"/>
          <w:lang w:val="zh-CN"/>
        </w:rPr>
      </w:pPr>
    </w:p>
    <w:p>
      <w:pPr>
        <w:rPr>
          <w:rFonts w:hint="default" w:ascii="Times New Roman" w:hAnsi="Times New Roman" w:cs="Times New Roman"/>
          <w:lang w:val="zh-CN"/>
        </w:rPr>
      </w:pPr>
    </w:p>
    <w:p>
      <w:pPr>
        <w:pStyle w:val="2"/>
        <w:rPr>
          <w:rFonts w:hint="default" w:ascii="Times New Roman" w:hAnsi="Times New Roman" w:cs="Times New Roman"/>
          <w:lang w:val="zh-CN"/>
        </w:rPr>
      </w:pPr>
    </w:p>
    <w:p>
      <w:pPr>
        <w:rPr>
          <w:rFonts w:hint="default" w:ascii="Times New Roman" w:hAnsi="Times New Roman" w:cs="Times New Roman"/>
          <w:lang w:val="zh-CN"/>
        </w:rPr>
      </w:pPr>
    </w:p>
    <w:p>
      <w:pPr>
        <w:pStyle w:val="2"/>
        <w:rPr>
          <w:rFonts w:hint="default" w:ascii="Times New Roman" w:hAnsi="Times New Roman" w:cs="Times New Roman"/>
          <w:lang w:val="zh-CN"/>
        </w:rPr>
      </w:pPr>
    </w:p>
    <w:p>
      <w:pPr>
        <w:rPr>
          <w:rFonts w:hint="default" w:ascii="Times New Roman" w:hAnsi="Times New Roman" w:cs="Times New Roman"/>
          <w:lang w:val="zh-CN"/>
        </w:rPr>
      </w:pPr>
    </w:p>
    <w:p>
      <w:pPr>
        <w:pStyle w:val="3"/>
        <w:jc w:val="center"/>
        <w:rPr>
          <w:rFonts w:hint="default" w:ascii="Times New Roman" w:hAnsi="Times New Roman" w:eastAsia="黑体" w:cs="Times New Roman"/>
        </w:rPr>
      </w:pPr>
      <w:bookmarkStart w:id="78" w:name="_Toc176943259"/>
      <w:r>
        <w:rPr>
          <w:rFonts w:hint="default" w:ascii="Times New Roman" w:hAnsi="Times New Roman" w:eastAsia="黑体" w:cs="Times New Roman"/>
        </w:rPr>
        <w:t>第五部分 附表</w:t>
      </w:r>
      <w:bookmarkEnd w:id="78"/>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一、收入支出决算总表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二、收入决算表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四、财政拨款收入支出决算总表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五、财政拨款支出决算明细表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六、一般公共预算财政拨款支出决算表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七、一般公共预算财政拨款支出决算明细表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八、一般公共预算财政拨款基本支出决算表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九、一般公共预算财政拨款项目支出决算表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十、政府性基金预算财政拨款收入支出决算表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十一、国有资本经营预算财政拨款收入支出决算表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十二、国有资本经营预算财政拨款支出决算表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panose1 w:val="020B0602030504020204"/>
    <w:charset w:val="00"/>
    <w:family w:val="auto"/>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Lucida Sans">
    <w:panose1 w:val="020B0602030504020204"/>
    <w:charset w:val="01"/>
    <w:family w:val="auto"/>
    <w:pitch w:val="default"/>
    <w:sig w:usb0="00000003"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8682636"/>
    </w:sdtPr>
    <w:sdtContent>
      <w:p>
        <w:pPr>
          <w:pStyle w:val="10"/>
          <w:jc w:val="center"/>
        </w:pPr>
        <w:r>
          <w:fldChar w:fldCharType="begin"/>
        </w:r>
        <w:r>
          <w:instrText xml:space="preserve">PAGE   \* MERGEFORMAT</w:instrText>
        </w:r>
        <w:r>
          <w:fldChar w:fldCharType="separate"/>
        </w:r>
        <w:r>
          <w:rPr>
            <w:lang w:val="zh-CN"/>
          </w:rPr>
          <w:t>35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506FF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22"/>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标题 5（有编号）（绿盟科技）"/>
    <w:next w:val="1"/>
    <w:qFormat/>
    <w:uiPriority w:val="0"/>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qFormat/>
    <w:uiPriority w:val="0"/>
    <w:pPr>
      <w:spacing w:before="30"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hAnsi="仿宋_GB2312"/>
      <w:szCs w:val="32"/>
    </w:rPr>
  </w:style>
  <w:style w:type="paragraph" w:styleId="8">
    <w:name w:val="toc 3"/>
    <w:basedOn w:val="1"/>
    <w:next w:val="1"/>
    <w:qFormat/>
    <w:uiPriority w:val="0"/>
    <w:pPr>
      <w:tabs>
        <w:tab w:val="right" w:leader="dot" w:pos="8296"/>
      </w:tabs>
      <w:ind w:left="400" w:leftChars="4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pPr>
      <w:tabs>
        <w:tab w:val="right" w:leader="dot" w:pos="8296"/>
      </w:tabs>
      <w:spacing w:before="93"/>
      <w:jc w:val="center"/>
    </w:pPr>
    <w:rPr>
      <w:rFonts w:ascii="仿宋" w:hAnsi="仿宋" w:eastAsia="仿宋"/>
      <w:sz w:val="28"/>
      <w:szCs w:val="28"/>
    </w:rPr>
  </w:style>
  <w:style w:type="paragraph" w:styleId="13">
    <w:name w:val="toc 2"/>
    <w:basedOn w:val="1"/>
    <w:next w:val="1"/>
    <w:qFormat/>
    <w:uiPriority w:val="0"/>
    <w:pPr>
      <w:tabs>
        <w:tab w:val="right" w:leader="dot" w:pos="8296"/>
      </w:tabs>
      <w:ind w:left="20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ind w:firstLine="200" w:firstLineChars="200"/>
    </w:pPr>
  </w:style>
  <w:style w:type="character" w:styleId="18">
    <w:name w:val="Strong"/>
    <w:basedOn w:val="17"/>
    <w:qFormat/>
    <w:uiPriority w:val="0"/>
    <w:rPr>
      <w:b/>
    </w:rPr>
  </w:style>
  <w:style w:type="character" w:styleId="19">
    <w:name w:val="FollowedHyperlink"/>
    <w:basedOn w:val="17"/>
    <w:qFormat/>
    <w:uiPriority w:val="0"/>
    <w:rPr>
      <w:color w:val="800080"/>
      <w:u w:val="single"/>
    </w:rPr>
  </w:style>
  <w:style w:type="character" w:styleId="20">
    <w:name w:val="Hyperlink"/>
    <w:basedOn w:val="17"/>
    <w:qFormat/>
    <w:uiPriority w:val="0"/>
    <w:rPr>
      <w:color w:val="0000FF"/>
      <w:u w:val="single"/>
    </w:rPr>
  </w:style>
  <w:style w:type="character" w:customStyle="1" w:styleId="21">
    <w:name w:val="heading 1 Char"/>
    <w:basedOn w:val="17"/>
    <w:link w:val="3"/>
    <w:qFormat/>
    <w:uiPriority w:val="0"/>
    <w:rPr>
      <w:rFonts w:ascii="Times New Roman" w:hAnsi="Times New Roman" w:eastAsia="宋体" w:cs="Times New Roman"/>
      <w:b/>
      <w:bCs/>
      <w:kern w:val="44"/>
      <w:sz w:val="44"/>
      <w:szCs w:val="44"/>
      <w:lang w:val="en-US" w:eastAsia="zh-CN" w:bidi="ar-SA"/>
    </w:rPr>
  </w:style>
  <w:style w:type="character" w:customStyle="1" w:styleId="22">
    <w:name w:val="heading 2 Char"/>
    <w:basedOn w:val="17"/>
    <w:link w:val="4"/>
    <w:qFormat/>
    <w:uiPriority w:val="0"/>
    <w:rPr>
      <w:rFonts w:ascii="Cambria" w:hAnsi="Cambria" w:eastAsia="宋体" w:cs="Times New Roman"/>
      <w:b/>
      <w:bCs/>
      <w:kern w:val="2"/>
      <w:sz w:val="32"/>
      <w:szCs w:val="32"/>
      <w:lang w:val="en-US" w:eastAsia="zh-CN" w:bidi="ar-SA"/>
    </w:rPr>
  </w:style>
  <w:style w:type="character" w:customStyle="1" w:styleId="23">
    <w:name w:val="Header Char"/>
    <w:basedOn w:val="17"/>
    <w:qFormat/>
    <w:uiPriority w:val="0"/>
    <w:rPr>
      <w:rFonts w:ascii="Times New Roman" w:hAnsi="Times New Roman"/>
      <w:sz w:val="18"/>
      <w:szCs w:val="18"/>
    </w:rPr>
  </w:style>
  <w:style w:type="character" w:customStyle="1" w:styleId="24">
    <w:name w:val="Footer Char"/>
    <w:basedOn w:val="17"/>
    <w:qFormat/>
    <w:uiPriority w:val="0"/>
    <w:rPr>
      <w:rFonts w:ascii="Times New Roman" w:hAnsi="Times New Roman"/>
      <w:sz w:val="18"/>
      <w:szCs w:val="18"/>
    </w:rPr>
  </w:style>
  <w:style w:type="character" w:customStyle="1" w:styleId="25">
    <w:name w:val="Body Text Char"/>
    <w:basedOn w:val="17"/>
    <w:qFormat/>
    <w:uiPriority w:val="0"/>
    <w:rPr>
      <w:rFonts w:ascii="Times New Roman" w:hAnsi="Times New Roman"/>
      <w:szCs w:val="24"/>
    </w:rPr>
  </w:style>
  <w:style w:type="paragraph" w:customStyle="1" w:styleId="2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0"/>
    <w:pPr>
      <w:ind w:firstLine="200" w:firstLineChars="200"/>
    </w:pPr>
  </w:style>
  <w:style w:type="paragraph" w:customStyle="1" w:styleId="28">
    <w:name w:val="TOC 标题1"/>
    <w:basedOn w:val="3"/>
    <w:next w:val="1"/>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9">
    <w:name w:val="TOC 标题2"/>
    <w:basedOn w:val="3"/>
    <w:next w:val="1"/>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0">
    <w:name w:val="四号正文"/>
    <w:basedOn w:val="1"/>
    <w:qFormat/>
    <w:uiPriority w:val="0"/>
    <w:pPr>
      <w:spacing w:line="360" w:lineRule="auto"/>
    </w:pPr>
    <w:rPr>
      <w:rFonts w:ascii="??" w:hAnsi="??"/>
      <w:color w:val="000000"/>
      <w:kern w:val="0"/>
      <w:sz w:val="28"/>
      <w:szCs w:val="21"/>
      <w:lang w:val="zh-CN"/>
    </w:rPr>
  </w:style>
  <w:style w:type="character" w:customStyle="1" w:styleId="31">
    <w:name w:val="font31"/>
    <w:basedOn w:val="17"/>
    <w:qFormat/>
    <w:uiPriority w:val="0"/>
    <w:rPr>
      <w:rFonts w:ascii="Times New Roman" w:hAnsi="Times New Roman" w:cs="Times New Roman"/>
      <w:color w:val="000000"/>
      <w:sz w:val="24"/>
      <w:szCs w:val="24"/>
      <w:u w:val="none"/>
    </w:rPr>
  </w:style>
  <w:style w:type="character" w:customStyle="1" w:styleId="32">
    <w:name w:val="font01"/>
    <w:basedOn w:val="17"/>
    <w:qFormat/>
    <w:uiPriority w:val="0"/>
    <w:rPr>
      <w:rFonts w:ascii="宋体" w:hAnsi="宋体" w:eastAsia="宋体"/>
      <w:color w:val="000000"/>
      <w:sz w:val="24"/>
      <w:szCs w:val="24"/>
      <w:u w:val="none"/>
    </w:rPr>
  </w:style>
  <w:style w:type="paragraph" w:customStyle="1" w:styleId="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35">
    <w:name w:val="xl66"/>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36">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7">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8">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9">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0">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41">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4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3">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4">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5">
    <w:name w:val="xl7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6">
    <w:name w:val="xl77"/>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7">
    <w:name w:val="xl7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9">
    <w:name w:val="xl8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50">
    <w:name w:val="TOC Heading"/>
    <w:basedOn w:val="3"/>
    <w:next w:val="1"/>
    <w:qFormat/>
    <w:uiPriority w:val="0"/>
    <w:pPr>
      <w:keepNext/>
      <w:keepLines/>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收、支决算总计变动情况图</a:t>
            </a:r>
            <a:endParaRPr lang="zh-CN"/>
          </a:p>
        </c:rich>
      </c:tx>
      <c:layout>
        <c:manualLayout>
          <c:xMode val="edge"/>
          <c:yMode val="edge"/>
          <c:x val="0.2876475"/>
          <c:y val="0.045407638"/>
        </c:manualLayout>
      </c:layout>
      <c:overlay val="0"/>
      <c:spPr>
        <a:ln>
          <a:noFill/>
        </a:ln>
      </c:spPr>
    </c:title>
    <c:autoTitleDeleted val="0"/>
    <c:plotArea>
      <c:layout/>
      <c:barChart>
        <c:barDir val="col"/>
        <c:grouping val="clustered"/>
        <c:varyColors val="0"/>
        <c:ser>
          <c:idx val="0"/>
          <c:order val="0"/>
          <c:tx>
            <c:strRef>
              <c:f>Sheet1!$B$1</c:f>
              <c:strCache>
                <c:ptCount val="1"/>
                <c:pt idx="0">
                  <c:v>万元</c:v>
                </c:pt>
              </c:strCache>
            </c:strRef>
          </c:tx>
          <c:spPr>
            <a:solidFill>
              <a:srgbClr val="4F81BD"/>
            </a:solidFill>
            <a:ln>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2021</c:v>
                </c:pt>
                <c:pt idx="1">
                  <c:v>2022</c:v>
                </c:pt>
              </c:numCache>
            </c:numRef>
          </c:cat>
          <c:val>
            <c:numRef>
              <c:f>Sheet1!$B$2:$B$3</c:f>
              <c:numCache>
                <c:formatCode>General</c:formatCode>
                <c:ptCount val="2"/>
                <c:pt idx="0">
                  <c:v>1448.99</c:v>
                </c:pt>
                <c:pt idx="1">
                  <c:v>2061.61</c:v>
                </c:pt>
              </c:numCache>
            </c:numRef>
          </c:val>
        </c:ser>
        <c:dLbls>
          <c:showLegendKey val="0"/>
          <c:showVal val="1"/>
          <c:showCatName val="0"/>
          <c:showSerName val="0"/>
          <c:showPercent val="0"/>
          <c:showBubbleSize val="0"/>
        </c:dLbls>
        <c:gapWidth val="15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收入决算结构图</a:t>
            </a:r>
            <a:endParaRPr lang="zh-CN"/>
          </a:p>
        </c:rich>
      </c:tx>
      <c:layout/>
      <c:overlay val="0"/>
      <c:spPr>
        <a:ln>
          <a:noFill/>
        </a:ln>
      </c:spPr>
    </c:title>
    <c:autoTitleDeleted val="0"/>
    <c:view3D>
      <c:rotX val="30"/>
      <c:rotY val="0"/>
      <c:depthPercent val="100"/>
      <c:rAngAx val="0"/>
      <c:hPercent val="100"/>
      <c:perspective val="0"/>
    </c:view3D>
    <c:floor>
      <c:thickness val="0"/>
      <c:spPr>
        <a:ln>
          <a:noFill/>
        </a:ln>
      </c:spPr>
    </c:floor>
    <c:sideWall>
      <c:thickness val="0"/>
      <c:spPr>
        <a:ln>
          <a:noFill/>
        </a:ln>
      </c:spPr>
    </c:sideWall>
    <c:backWall>
      <c:thickness val="0"/>
      <c:spPr>
        <a:solidFill>
          <a:srgbClr val="C0C0C0"/>
        </a:solidFill>
        <a:ln>
          <a:noFill/>
        </a:ln>
      </c:spPr>
    </c:backWall>
    <c:plotArea>
      <c:layout/>
      <c:pie3DChart>
        <c:varyColors val="1"/>
        <c:ser>
          <c:idx val="0"/>
          <c:order val="0"/>
          <c:tx>
            <c:strRef>
              <c:f>'Sheet1 (2)'!$B$1</c:f>
              <c:strCache>
                <c:ptCount val="1"/>
                <c:pt idx="0">
                  <c:v>万元</c:v>
                </c:pt>
              </c:strCache>
            </c:strRef>
          </c:tx>
          <c:explosion val="0"/>
          <c:dPt>
            <c:idx val="0"/>
            <c:bubble3D val="0"/>
            <c:spPr>
              <a:solidFill>
                <a:srgbClr val="4F81BD"/>
              </a:solidFill>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(2)'!$A$2</c:f>
              <c:strCache>
                <c:ptCount val="1"/>
                <c:pt idx="0">
                  <c:v>一般公共预算收入</c:v>
                </c:pt>
              </c:strCache>
            </c:strRef>
          </c:cat>
          <c:val>
            <c:numRef>
              <c:f>'Sheet1 (2)'!$B$2</c:f>
              <c:numCache>
                <c:formatCode>General</c:formatCode>
                <c:ptCount val="1"/>
                <c:pt idx="0">
                  <c:v>1946.39</c:v>
                </c:pt>
              </c:numCache>
            </c:numRef>
          </c:val>
        </c:ser>
        <c:dLbls>
          <c:showLegendKey val="0"/>
          <c:showVal val="1"/>
          <c:showCatName val="0"/>
          <c:showSerName val="0"/>
          <c:showPercent val="0"/>
          <c:showBubbleSize val="0"/>
        </c:dLbls>
      </c:pie3DChart>
      <c:spPr>
        <a:solidFill>
          <a:srgbClr val="C0C0C0"/>
        </a:solidFill>
        <a:ln>
          <a:noFill/>
        </a:ln>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支出决算结构图</a:t>
            </a:r>
            <a:endParaRPr lang="zh-CN"/>
          </a:p>
        </c:rich>
      </c:tx>
      <c:layout>
        <c:manualLayout>
          <c:xMode val="edge"/>
          <c:yMode val="edge"/>
          <c:x val="0.31915474"/>
          <c:y val="0.02889577"/>
        </c:manualLayout>
      </c:layout>
      <c:overlay val="0"/>
      <c:spPr>
        <a:ln>
          <a:noFill/>
        </a:ln>
      </c:spPr>
    </c:title>
    <c:autoTitleDeleted val="0"/>
    <c:view3D>
      <c:rotX val="30"/>
      <c:rotY val="0"/>
      <c:depthPercent val="100"/>
      <c:rAngAx val="0"/>
      <c:hPercent val="100"/>
      <c:perspective val="0"/>
    </c:view3D>
    <c:floor>
      <c:thickness val="0"/>
      <c:spPr>
        <a:ln>
          <a:noFill/>
        </a:ln>
      </c:spPr>
    </c:floor>
    <c:sideWall>
      <c:thickness val="0"/>
      <c:spPr>
        <a:ln>
          <a:noFill/>
        </a:ln>
      </c:spPr>
    </c:sideWall>
    <c:backWall>
      <c:thickness val="0"/>
      <c:spPr>
        <a:solidFill>
          <a:srgbClr val="C0C0C0"/>
        </a:solidFill>
        <a:ln>
          <a:noFill/>
        </a:ln>
      </c:spPr>
    </c:backWall>
    <c:plotArea>
      <c:layout/>
      <c:pie3DChart>
        <c:varyColors val="1"/>
        <c:ser>
          <c:idx val="0"/>
          <c:order val="0"/>
          <c:tx>
            <c:strRef>
              <c:f>'Sheet1 (3)'!$B$1</c:f>
              <c:strCache>
                <c:ptCount val="1"/>
                <c:pt idx="0">
                  <c:v>万元</c:v>
                </c:pt>
              </c:strCache>
            </c:strRef>
          </c:tx>
          <c:explosion val="0"/>
          <c:dPt>
            <c:idx val="0"/>
            <c:bubble3D val="0"/>
            <c:spPr>
              <a:solidFill>
                <a:srgbClr val="4F81BD"/>
              </a:solidFill>
            </c:spPr>
          </c:dPt>
          <c:dPt>
            <c:idx val="1"/>
            <c:bubble3D val="0"/>
            <c:spPr>
              <a:solidFill>
                <a:srgbClr val="C0504D"/>
              </a:solidFill>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(3)'!$A$2:$A$3</c:f>
              <c:strCache>
                <c:ptCount val="2"/>
                <c:pt idx="0">
                  <c:v>基本支出</c:v>
                </c:pt>
                <c:pt idx="1">
                  <c:v>项目支出</c:v>
                </c:pt>
              </c:strCache>
            </c:strRef>
          </c:cat>
          <c:val>
            <c:numRef>
              <c:f>'Sheet1 (3)'!$B$2:$B$3</c:f>
              <c:numCache>
                <c:formatCode>General</c:formatCode>
                <c:ptCount val="2"/>
                <c:pt idx="0">
                  <c:v>1630.71</c:v>
                </c:pt>
                <c:pt idx="1">
                  <c:v>430.89</c:v>
                </c:pt>
              </c:numCache>
            </c:numRef>
          </c:val>
        </c:ser>
        <c:dLbls>
          <c:showLegendKey val="0"/>
          <c:showVal val="1"/>
          <c:showCatName val="0"/>
          <c:showSerName val="0"/>
          <c:showPercent val="0"/>
          <c:showBubbleSize val="0"/>
        </c:dLbls>
      </c:pie3DChart>
      <c:spPr>
        <a:solidFill>
          <a:srgbClr val="C0C0C0"/>
        </a:solidFill>
        <a:ln>
          <a:noFill/>
        </a:ln>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财政拨款收、支决算总计变动情况</a:t>
            </a:r>
            <a:endParaRPr lang="zh-CN"/>
          </a:p>
        </c:rich>
      </c:tx>
      <c:layout/>
      <c:overlay val="0"/>
      <c:spPr>
        <a:ln>
          <a:noFill/>
        </a:ln>
      </c:spPr>
    </c:title>
    <c:autoTitleDeleted val="0"/>
    <c:plotArea>
      <c:layout/>
      <c:barChart>
        <c:barDir val="col"/>
        <c:grouping val="clustered"/>
        <c:varyColors val="0"/>
        <c:ser>
          <c:idx val="0"/>
          <c:order val="0"/>
          <c:tx>
            <c:strRef>
              <c:f>'Sheet1 (4)'!$B$1</c:f>
              <c:strCache>
                <c:ptCount val="1"/>
                <c:pt idx="0">
                  <c:v>万元</c:v>
                </c:pt>
              </c:strCache>
            </c:strRef>
          </c:tx>
          <c:spPr>
            <a:solidFill>
              <a:srgbClr val="4F81BD"/>
            </a:solidFill>
            <a:ln>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 (4)'!$A$2:$A$3</c:f>
              <c:numCache>
                <c:formatCode>General</c:formatCode>
                <c:ptCount val="2"/>
                <c:pt idx="0">
                  <c:v>2021</c:v>
                </c:pt>
                <c:pt idx="1">
                  <c:v>2022</c:v>
                </c:pt>
              </c:numCache>
            </c:numRef>
          </c:cat>
          <c:val>
            <c:numRef>
              <c:f>'Sheet1 (4)'!$B$2:$B$3</c:f>
              <c:numCache>
                <c:formatCode>General</c:formatCode>
                <c:ptCount val="2"/>
                <c:pt idx="0">
                  <c:v>1448.99</c:v>
                </c:pt>
                <c:pt idx="1">
                  <c:v>2061.61</c:v>
                </c:pt>
              </c:numCache>
            </c:numRef>
          </c:val>
        </c:ser>
        <c:dLbls>
          <c:showLegendKey val="0"/>
          <c:showVal val="1"/>
          <c:showCatName val="0"/>
          <c:showSerName val="0"/>
          <c:showPercent val="0"/>
          <c:showBubbleSize val="0"/>
        </c:dLbls>
        <c:gapWidth val="15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一般公共预算财政拨款支出决算变动情况</a:t>
            </a:r>
            <a:endParaRPr lang="zh-CN"/>
          </a:p>
        </c:rich>
      </c:tx>
      <c:layout/>
      <c:overlay val="0"/>
      <c:spPr>
        <a:ln>
          <a:noFill/>
        </a:ln>
      </c:spPr>
    </c:title>
    <c:autoTitleDeleted val="0"/>
    <c:plotArea>
      <c:layout/>
      <c:barChart>
        <c:barDir val="col"/>
        <c:grouping val="clustered"/>
        <c:varyColors val="0"/>
        <c:ser>
          <c:idx val="0"/>
          <c:order val="0"/>
          <c:tx>
            <c:strRef>
              <c:f>'Sheet1 (5)'!$B$1</c:f>
              <c:strCache>
                <c:ptCount val="1"/>
                <c:pt idx="0">
                  <c:v>万元</c:v>
                </c:pt>
              </c:strCache>
            </c:strRef>
          </c:tx>
          <c:spPr>
            <a:solidFill>
              <a:srgbClr val="4F81BD"/>
            </a:solidFill>
            <a:ln>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(5)'!$A$2:$A$3</c:f>
              <c:strCache>
                <c:ptCount val="2"/>
                <c:pt idx="0">
                  <c:v>2021年</c:v>
                </c:pt>
                <c:pt idx="1">
                  <c:v>2022年</c:v>
                </c:pt>
              </c:strCache>
            </c:strRef>
          </c:cat>
          <c:val>
            <c:numRef>
              <c:f>'Sheet1 (5)'!$B$2:$B$3</c:f>
              <c:numCache>
                <c:formatCode>General</c:formatCode>
                <c:ptCount val="2"/>
                <c:pt idx="0">
                  <c:v>1440.12</c:v>
                </c:pt>
                <c:pt idx="1">
                  <c:v>2061.61</c:v>
                </c:pt>
              </c:numCache>
            </c:numRef>
          </c:val>
        </c:ser>
        <c:dLbls>
          <c:showLegendKey val="0"/>
          <c:showVal val="1"/>
          <c:showCatName val="0"/>
          <c:showSerName val="0"/>
          <c:showPercent val="0"/>
          <c:showBubbleSize val="0"/>
        </c:dLbls>
        <c:gapWidth val="15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一般公共预算财政拨款支出决算结构</a:t>
            </a:r>
            <a:endParaRPr lang="zh-CN"/>
          </a:p>
        </c:rich>
      </c:tx>
      <c:layout/>
      <c:overlay val="0"/>
      <c:spPr>
        <a:ln>
          <a:noFill/>
        </a:ln>
      </c:spPr>
    </c:title>
    <c:autoTitleDeleted val="0"/>
    <c:view3D>
      <c:rotX val="30"/>
      <c:rotY val="0"/>
      <c:depthPercent val="100"/>
      <c:rAngAx val="0"/>
      <c:hPercent val="100"/>
      <c:perspective val="0"/>
    </c:view3D>
    <c:floor>
      <c:thickness val="0"/>
      <c:spPr>
        <a:ln>
          <a:noFill/>
        </a:ln>
      </c:spPr>
    </c:floor>
    <c:sideWall>
      <c:thickness val="0"/>
      <c:spPr>
        <a:ln>
          <a:noFill/>
        </a:ln>
      </c:spPr>
    </c:sideWall>
    <c:backWall>
      <c:thickness val="0"/>
      <c:spPr>
        <a:solidFill>
          <a:srgbClr val="C0C0C0"/>
        </a:solidFill>
        <a:ln>
          <a:noFill/>
        </a:ln>
      </c:spPr>
    </c:backWall>
    <c:plotArea>
      <c:layout/>
      <c:pie3DChart>
        <c:varyColors val="1"/>
        <c:ser>
          <c:idx val="0"/>
          <c:order val="0"/>
          <c:tx>
            <c:strRef>
              <c:f>'Sheet1 (6)'!$B$1</c:f>
              <c:strCache>
                <c:ptCount val="1"/>
                <c:pt idx="0">
                  <c:v>万元</c:v>
                </c:pt>
              </c:strCache>
            </c:strRef>
          </c:tx>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Pt>
            <c:idx val="5"/>
            <c:bubble3D val="0"/>
            <c:spPr>
              <a:solidFill>
                <a:srgbClr val="F79646"/>
              </a:solidFill>
            </c:spPr>
          </c:dPt>
          <c:dPt>
            <c:idx val="6"/>
            <c:bubble3D val="0"/>
            <c:spPr>
              <a:solidFill>
                <a:srgbClr val="99B6D9"/>
              </a:solidFill>
            </c:spPr>
          </c:dPt>
          <c:dPt>
            <c:idx val="7"/>
            <c:bubble3D val="0"/>
            <c:spPr>
              <a:solidFill>
                <a:srgbClr val="DB9A98"/>
              </a:solidFill>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(6)'!$A$2:$A$9</c:f>
              <c:strCache>
                <c:ptCount val="8"/>
                <c:pt idx="0">
                  <c:v>一般公共服务支出</c:v>
                </c:pt>
                <c:pt idx="1">
                  <c:v>社会保障和就业支出</c:v>
                </c:pt>
                <c:pt idx="2">
                  <c:v>农林水支出</c:v>
                </c:pt>
                <c:pt idx="3">
                  <c:v>商业服务业等支出</c:v>
                </c:pt>
                <c:pt idx="4">
                  <c:v>住房保障支出</c:v>
                </c:pt>
                <c:pt idx="5">
                  <c:v>粮油物资储备支出</c:v>
                </c:pt>
              </c:strCache>
            </c:strRef>
          </c:cat>
          <c:val>
            <c:numRef>
              <c:f>'Sheet1 (6)'!$B$2:$B$9</c:f>
              <c:numCache>
                <c:formatCode>General</c:formatCode>
                <c:ptCount val="8"/>
                <c:pt idx="0">
                  <c:v>845.72</c:v>
                </c:pt>
                <c:pt idx="1">
                  <c:v>720.13</c:v>
                </c:pt>
                <c:pt idx="2">
                  <c:v>0.07</c:v>
                </c:pt>
                <c:pt idx="3">
                  <c:v>341.98</c:v>
                </c:pt>
                <c:pt idx="4">
                  <c:v>73.7</c:v>
                </c:pt>
                <c:pt idx="5">
                  <c:v>80</c:v>
                </c:pt>
              </c:numCache>
            </c:numRef>
          </c:val>
        </c:ser>
        <c:dLbls>
          <c:showLegendKey val="0"/>
          <c:showVal val="1"/>
          <c:showCatName val="0"/>
          <c:showSerName val="0"/>
          <c:showPercent val="0"/>
          <c:showBubbleSize val="0"/>
        </c:dLbls>
      </c:pie3DChart>
      <c:spPr>
        <a:solidFill>
          <a:srgbClr val="C0C0C0"/>
        </a:solidFill>
        <a:ln>
          <a:noFill/>
        </a:ln>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Times New Roman" panose="02020603050405020304"/>
                <a:ea typeface="宋体" panose="02010600030101010101" charset="-122"/>
                <a:cs typeface="Lucida Sans" panose="020B0602030504020204"/>
              </a:defRPr>
            </a:pPr>
            <a:r>
              <a:rPr lang="zh-CN"/>
              <a:t>“三公”经费财政拨款支出结构</a:t>
            </a:r>
            <a:endParaRPr lang="zh-CN"/>
          </a:p>
        </c:rich>
      </c:tx>
      <c:layout/>
      <c:overlay val="0"/>
      <c:spPr>
        <a:ln>
          <a:noFill/>
        </a:ln>
      </c:spPr>
    </c:title>
    <c:autoTitleDeleted val="0"/>
    <c:view3D>
      <c:rotX val="30"/>
      <c:rotY val="0"/>
      <c:depthPercent val="100"/>
      <c:rAngAx val="0"/>
      <c:hPercent val="100"/>
      <c:perspective val="0"/>
    </c:view3D>
    <c:floor>
      <c:thickness val="0"/>
      <c:spPr>
        <a:ln>
          <a:noFill/>
        </a:ln>
      </c:spPr>
    </c:floor>
    <c:sideWall>
      <c:thickness val="0"/>
      <c:spPr>
        <a:ln>
          <a:noFill/>
        </a:ln>
      </c:spPr>
    </c:sideWall>
    <c:backWall>
      <c:thickness val="0"/>
      <c:spPr>
        <a:solidFill>
          <a:srgbClr val="C0C0C0"/>
        </a:solidFill>
        <a:ln>
          <a:noFill/>
        </a:ln>
      </c:spPr>
    </c:backWall>
    <c:plotArea>
      <c:layout/>
      <c:pie3DChart>
        <c:varyColors val="1"/>
        <c:ser>
          <c:idx val="0"/>
          <c:order val="0"/>
          <c:tx>
            <c:strRef>
              <c:f>'Sheet1 (7)'!$B$1</c:f>
              <c:strCache>
                <c:ptCount val="1"/>
                <c:pt idx="0">
                  <c:v>万元</c:v>
                </c:pt>
              </c:strCache>
            </c:strRef>
          </c:tx>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(7)'!$A$2:$A$4</c:f>
              <c:strCache>
                <c:ptCount val="3"/>
                <c:pt idx="0">
                  <c:v>因公出国费</c:v>
                </c:pt>
                <c:pt idx="1">
                  <c:v>公务用车购置及运行维护费</c:v>
                </c:pt>
                <c:pt idx="2">
                  <c:v>公务接待费</c:v>
                </c:pt>
              </c:strCache>
            </c:strRef>
          </c:cat>
          <c:val>
            <c:numRef>
              <c:f>'Sheet1 (7)'!$B$2:$B$4</c:f>
              <c:numCache>
                <c:formatCode>General</c:formatCode>
                <c:ptCount val="3"/>
                <c:pt idx="0">
                  <c:v>0</c:v>
                </c:pt>
                <c:pt idx="1">
                  <c:v>4.05</c:v>
                </c:pt>
                <c:pt idx="2">
                  <c:v>1.43</c:v>
                </c:pt>
              </c:numCache>
            </c:numRef>
          </c:val>
        </c:ser>
        <c:dLbls>
          <c:showLegendKey val="0"/>
          <c:showVal val="1"/>
          <c:showCatName val="0"/>
          <c:showSerName val="0"/>
          <c:showPercent val="0"/>
          <c:showBubbleSize val="0"/>
        </c:dLbls>
      </c:pie3DChart>
      <c:spPr>
        <a:solidFill>
          <a:srgbClr val="C0C0C0"/>
        </a:solidFill>
        <a:ln>
          <a:noFill/>
        </a:ln>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Times New Roman" panose="02020603050405020304"/>
              <a:ea typeface="宋体" panose="02010600030101010101" charset="-122"/>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Times New Roman" panose="02020603050405020304"/>
          <a:ea typeface="宋体" panose="02010600030101010101" charset="-122"/>
          <a:cs typeface="Lucida Sans" panose="020B0602030504020204"/>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四川省财政厅</Company>
  <Pages>45</Pages>
  <Words>0</Words>
  <Characters>14924</Characters>
  <Lines>0</Lines>
  <Paragraphs>308</Paragraphs>
  <TotalTime>1</TotalTime>
  <ScaleCrop>false</ScaleCrop>
  <LinksUpToDate>false</LinksUpToDate>
  <CharactersWithSpaces>19899</CharactersWithSpaces>
  <Application>WPS Office_11.1.0.11719_F1E327BC-269C-435d-A152-05C5408002CA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2024-08-05T15:12:00Z</dcterms:created>
  <dc:creator>曹颖</dc:creator>
  <cp:lastModifiedBy>user</cp:lastModifiedBy>
  <cp:lastPrinted>2023-08-03T18:35:00Z</cp:lastPrinted>
  <dcterms:modified xsi:type="dcterms:W3CDTF">2024-12-20T09:59:33Z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